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lang w:val="en-US" w:eastAsia="zh-CN"/>
        </w:rPr>
        <w:t>新疆疏勒县阿拉甫乡阿亚克吉勒尕村建筑用砂矿</w:t>
      </w:r>
      <w:r>
        <w:rPr>
          <w:rFonts w:hint="eastAsia" w:ascii="方正小标宋_GBK" w:hAnsi="方正小标宋_GBK" w:eastAsia="方正小标宋_GBK" w:cs="方正小标宋_GBK"/>
          <w:sz w:val="40"/>
          <w:szCs w:val="40"/>
        </w:rPr>
        <w:t>采</w:t>
      </w:r>
      <w:bookmarkStart w:id="0" w:name="_GoBack"/>
      <w:bookmarkEnd w:id="0"/>
      <w:r>
        <w:rPr>
          <w:rFonts w:hint="eastAsia" w:ascii="方正小标宋_GBK" w:hAnsi="方正小标宋_GBK" w:eastAsia="方正小标宋_GBK" w:cs="方正小标宋_GBK"/>
          <w:sz w:val="40"/>
          <w:szCs w:val="40"/>
        </w:rPr>
        <w:t>矿权挂牌出让公告</w:t>
      </w:r>
    </w:p>
    <w:p>
      <w:pPr>
        <w:spacing w:line="570" w:lineRule="exact"/>
        <w:jc w:val="center"/>
        <w:rPr>
          <w:rFonts w:ascii="仿宋" w:hAnsi="仿宋" w:eastAsia="仿宋" w:cs="仿宋"/>
          <w:sz w:val="30"/>
          <w:szCs w:val="30"/>
        </w:rPr>
      </w:pPr>
      <w:r>
        <w:rPr>
          <w:rFonts w:hint="eastAsia" w:ascii="方正仿宋_GBK" w:hAnsi="方正仿宋_GBK" w:eastAsia="方正仿宋_GBK" w:cs="方正仿宋_GBK"/>
          <w:sz w:val="32"/>
          <w:szCs w:val="32"/>
        </w:rPr>
        <w:t>（喀矿采告字〔202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号）</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依据《中华人民共和国矿产资源法》、《矿业权出让交易规则》（自然资规〔2023〕1号）、《新疆维吾尔自治区矿产资源管理若干事项暂行办法》（新自然资规〔2021〕1号）等有关法律法规和政策规定，经</w:t>
      </w:r>
      <w:r>
        <w:rPr>
          <w:rFonts w:hint="eastAsia" w:ascii="方正仿宋_GBK" w:hAnsi="方正仿宋_GBK" w:eastAsia="方正仿宋_GBK" w:cs="方正仿宋_GBK"/>
          <w:sz w:val="32"/>
          <w:szCs w:val="32"/>
          <w:lang w:val="en-US" w:eastAsia="zh-CN"/>
        </w:rPr>
        <w:t>疏勒县人民政府</w:t>
      </w:r>
      <w:r>
        <w:rPr>
          <w:rFonts w:hint="eastAsia" w:ascii="方正仿宋_GBK" w:hAnsi="方正仿宋_GBK" w:eastAsia="方正仿宋_GBK" w:cs="方正仿宋_GBK"/>
          <w:sz w:val="32"/>
          <w:szCs w:val="32"/>
        </w:rPr>
        <w:t>批准，新疆公信拍卖有限公司受</w:t>
      </w:r>
      <w:r>
        <w:rPr>
          <w:rFonts w:hint="eastAsia" w:ascii="方正仿宋_GBK" w:hAnsi="方正仿宋_GBK" w:eastAsia="方正仿宋_GBK" w:cs="方正仿宋_GBK"/>
          <w:sz w:val="32"/>
          <w:szCs w:val="32"/>
          <w:lang w:val="en-US" w:eastAsia="zh-CN"/>
        </w:rPr>
        <w:t>疏勒县</w:t>
      </w:r>
      <w:r>
        <w:rPr>
          <w:rFonts w:hint="eastAsia" w:ascii="方正仿宋_GBK" w:hAnsi="方正仿宋_GBK" w:eastAsia="方正仿宋_GBK" w:cs="方正仿宋_GBK"/>
          <w:sz w:val="32"/>
          <w:szCs w:val="32"/>
        </w:rPr>
        <w:t>自然资源局委托对下列采矿权以挂牌方式公开出让，现将有关事宜公告如下：</w:t>
      </w:r>
    </w:p>
    <w:p>
      <w:pPr>
        <w:spacing w:line="57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一、出让人组织基本信息</w:t>
      </w:r>
    </w:p>
    <w:p>
      <w:pPr>
        <w:spacing w:line="57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（一）出让人</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名称：</w:t>
      </w:r>
      <w:r>
        <w:rPr>
          <w:rFonts w:hint="eastAsia" w:ascii="方正仿宋_GBK" w:hAnsi="方正仿宋_GBK" w:eastAsia="方正仿宋_GBK" w:cs="方正仿宋_GBK"/>
          <w:sz w:val="32"/>
          <w:szCs w:val="32"/>
          <w:lang w:val="en-US" w:eastAsia="zh-CN"/>
        </w:rPr>
        <w:t>疏勒县</w:t>
      </w:r>
      <w:r>
        <w:rPr>
          <w:rFonts w:hint="eastAsia" w:ascii="方正仿宋_GBK" w:hAnsi="方正仿宋_GBK" w:eastAsia="方正仿宋_GBK" w:cs="方正仿宋_GBK"/>
          <w:sz w:val="32"/>
          <w:szCs w:val="32"/>
        </w:rPr>
        <w:t>自然资源局</w:t>
      </w:r>
    </w:p>
    <w:p>
      <w:pPr>
        <w:spacing w:line="57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地址：</w:t>
      </w:r>
      <w:r>
        <w:rPr>
          <w:rFonts w:hint="eastAsia" w:ascii="方正仿宋_GBK" w:hAnsi="方正仿宋_GBK" w:eastAsia="方正仿宋_GBK" w:cs="方正仿宋_GBK"/>
          <w:sz w:val="32"/>
          <w:szCs w:val="32"/>
          <w:lang w:val="en-US" w:eastAsia="zh-CN"/>
        </w:rPr>
        <w:t>疏勒县解放东路行政服务中心二楼</w:t>
      </w:r>
    </w:p>
    <w:p>
      <w:pPr>
        <w:spacing w:line="570" w:lineRule="exact"/>
        <w:ind w:firstLine="640"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Cs/>
          <w:sz w:val="32"/>
          <w:szCs w:val="32"/>
        </w:rPr>
        <w:t>（二）交易平台</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名称：喀什地区公共资源交易中心</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地址：喀什地区疏附县吾库萨克镇昆仑农批市场内西侧</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网址：喀什地区公共资源交易网（http://www.ggzykashi.cn/）</w:t>
      </w:r>
    </w:p>
    <w:p>
      <w:pPr>
        <w:spacing w:line="57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（三）挂牌代理机构</w:t>
      </w:r>
    </w:p>
    <w:p>
      <w:pPr>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名称：新疆公信拍卖有限公司</w:t>
      </w:r>
    </w:p>
    <w:p>
      <w:pPr>
        <w:spacing w:line="570" w:lineRule="exact"/>
        <w:ind w:firstLine="640" w:firstLineChars="200"/>
        <w:rPr>
          <w:rFonts w:ascii="Times New Roman" w:hAnsi="Times New Roman" w:eastAsia="方正仿宋_GBK" w:cs="Times New Roman"/>
          <w:sz w:val="32"/>
          <w:szCs w:val="32"/>
        </w:rPr>
        <w:sectPr>
          <w:footerReference r:id="rId3" w:type="default"/>
          <w:pgSz w:w="11906" w:h="16838"/>
          <w:pgMar w:top="1701" w:right="1531" w:bottom="1701" w:left="1531" w:header="851" w:footer="992" w:gutter="0"/>
          <w:cols w:space="0" w:num="1"/>
          <w:docGrid w:type="lines" w:linePitch="313" w:charSpace="0"/>
        </w:sectPr>
      </w:pPr>
      <w:r>
        <w:rPr>
          <w:rFonts w:ascii="仿宋_GB2312" w:hAnsi="仿宋_GB2312" w:eastAsia="仿宋_GB2312" w:cs="仿宋_GB2312"/>
          <w:sz w:val="32"/>
          <w:szCs w:val="32"/>
        </w:rPr>
        <w:t>场所：乌鲁木齐沙依巴克区西北路 458 号新疆科学大厦第一幢 4 层 2 号</w:t>
      </w:r>
    </w:p>
    <w:p>
      <w:pPr>
        <w:spacing w:line="57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二、出让采矿权项目基本情况表</w:t>
      </w:r>
    </w:p>
    <w:p>
      <w:pPr>
        <w:spacing w:line="570" w:lineRule="exact"/>
        <w:ind w:firstLine="420" w:firstLineChars="200"/>
        <w:rPr>
          <w:rFonts w:ascii="仿宋_GB2312" w:hAnsi="仿宋_GB2312" w:eastAsia="仿宋_GB2312" w:cs="仿宋_GB2312"/>
        </w:rPr>
      </w:pPr>
    </w:p>
    <w:tbl>
      <w:tblPr>
        <w:tblStyle w:val="5"/>
        <w:tblpPr w:leftFromText="180" w:rightFromText="180" w:vertAnchor="text" w:horzAnchor="page" w:tblpX="1477" w:tblpY="909"/>
        <w:tblOverlap w:val="never"/>
        <w:tblW w:w="14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54"/>
        <w:gridCol w:w="1293"/>
        <w:gridCol w:w="687"/>
        <w:gridCol w:w="721"/>
        <w:gridCol w:w="2620"/>
        <w:gridCol w:w="1036"/>
        <w:gridCol w:w="1095"/>
        <w:gridCol w:w="1080"/>
        <w:gridCol w:w="1065"/>
        <w:gridCol w:w="979"/>
        <w:gridCol w:w="1031"/>
        <w:gridCol w:w="990"/>
        <w:gridCol w:w="930"/>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06" w:hRule="atLeast"/>
        </w:trPr>
        <w:tc>
          <w:tcPr>
            <w:tcW w:w="454" w:type="dxa"/>
            <w:shd w:val="clear" w:color="auto" w:fill="auto"/>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18"/>
                <w:szCs w:val="18"/>
              </w:rPr>
            </w:pPr>
            <w:r>
              <w:rPr>
                <w:rFonts w:hint="eastAsia" w:ascii="仿宋" w:hAnsi="仿宋" w:eastAsia="仿宋" w:cs="仿宋"/>
                <w:b/>
                <w:bCs/>
                <w:sz w:val="18"/>
                <w:szCs w:val="18"/>
                <w:lang w:val="en-US" w:eastAsia="zh-CN"/>
              </w:rPr>
              <w:t>序号</w:t>
            </w:r>
          </w:p>
        </w:tc>
        <w:tc>
          <w:tcPr>
            <w:tcW w:w="1293" w:type="dxa"/>
            <w:shd w:val="clear" w:color="auto" w:fill="auto"/>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18"/>
                <w:szCs w:val="18"/>
              </w:rPr>
            </w:pPr>
            <w:r>
              <w:rPr>
                <w:rFonts w:hint="eastAsia" w:ascii="仿宋" w:hAnsi="仿宋" w:eastAsia="仿宋" w:cs="仿宋"/>
                <w:b/>
                <w:bCs/>
                <w:sz w:val="18"/>
                <w:szCs w:val="18"/>
                <w:lang w:val="en-US" w:eastAsia="zh-CN"/>
              </w:rPr>
              <w:t>项目名称</w:t>
            </w:r>
          </w:p>
        </w:tc>
        <w:tc>
          <w:tcPr>
            <w:tcW w:w="687" w:type="dxa"/>
            <w:shd w:val="clear" w:color="auto" w:fill="auto"/>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18"/>
                <w:szCs w:val="18"/>
              </w:rPr>
            </w:pPr>
            <w:r>
              <w:rPr>
                <w:rFonts w:hint="eastAsia" w:ascii="仿宋" w:hAnsi="仿宋" w:eastAsia="仿宋" w:cs="仿宋"/>
                <w:b/>
                <w:bCs/>
                <w:sz w:val="18"/>
                <w:szCs w:val="18"/>
                <w:lang w:val="en-US" w:eastAsia="zh-CN"/>
              </w:rPr>
              <w:t>矿种</w:t>
            </w:r>
          </w:p>
        </w:tc>
        <w:tc>
          <w:tcPr>
            <w:tcW w:w="721" w:type="dxa"/>
            <w:shd w:val="clear" w:color="auto" w:fill="auto"/>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18"/>
                <w:szCs w:val="18"/>
              </w:rPr>
            </w:pPr>
            <w:r>
              <w:rPr>
                <w:rFonts w:hint="eastAsia" w:ascii="仿宋" w:hAnsi="仿宋" w:eastAsia="仿宋" w:cs="仿宋"/>
                <w:b/>
                <w:bCs/>
                <w:sz w:val="18"/>
                <w:szCs w:val="18"/>
                <w:lang w:val="en-US" w:eastAsia="zh-CN"/>
              </w:rPr>
              <w:t>地理</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18"/>
                <w:szCs w:val="18"/>
              </w:rPr>
            </w:pPr>
            <w:r>
              <w:rPr>
                <w:rFonts w:hint="eastAsia" w:ascii="仿宋" w:hAnsi="仿宋" w:eastAsia="仿宋" w:cs="仿宋"/>
                <w:b/>
                <w:bCs/>
                <w:sz w:val="18"/>
                <w:szCs w:val="18"/>
                <w:lang w:val="en-US" w:eastAsia="zh-CN"/>
              </w:rPr>
              <w:t>位置</w:t>
            </w:r>
          </w:p>
        </w:tc>
        <w:tc>
          <w:tcPr>
            <w:tcW w:w="2620" w:type="dxa"/>
            <w:shd w:val="clear" w:color="auto" w:fill="auto"/>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18"/>
                <w:szCs w:val="18"/>
              </w:rPr>
            </w:pPr>
            <w:r>
              <w:rPr>
                <w:rFonts w:hint="eastAsia" w:ascii="仿宋" w:hAnsi="仿宋" w:eastAsia="仿宋" w:cs="仿宋"/>
                <w:b/>
                <w:bCs/>
                <w:sz w:val="18"/>
                <w:szCs w:val="18"/>
                <w:lang w:val="en-US" w:eastAsia="zh-CN"/>
              </w:rPr>
              <w:t>矿区拐点坐标</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18"/>
                <w:szCs w:val="18"/>
              </w:rPr>
            </w:pPr>
            <w:r>
              <w:rPr>
                <w:rFonts w:hint="eastAsia" w:ascii="仿宋" w:hAnsi="仿宋" w:eastAsia="仿宋" w:cs="仿宋"/>
                <w:b/>
                <w:bCs/>
                <w:sz w:val="18"/>
                <w:szCs w:val="18"/>
                <w:lang w:val="en-US" w:eastAsia="zh-CN"/>
              </w:rPr>
              <w:t>（CGCS2000）</w:t>
            </w:r>
          </w:p>
        </w:tc>
        <w:tc>
          <w:tcPr>
            <w:tcW w:w="1036" w:type="dxa"/>
            <w:shd w:val="clear" w:color="auto" w:fill="auto"/>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18"/>
                <w:szCs w:val="18"/>
              </w:rPr>
            </w:pPr>
            <w:r>
              <w:rPr>
                <w:rFonts w:hint="eastAsia" w:ascii="仿宋" w:hAnsi="仿宋" w:eastAsia="仿宋" w:cs="仿宋"/>
                <w:b/>
                <w:bCs/>
                <w:sz w:val="18"/>
                <w:szCs w:val="18"/>
                <w:lang w:val="en-US" w:eastAsia="zh-CN"/>
              </w:rPr>
              <w:t>矿区面积（km</w:t>
            </w:r>
            <w:r>
              <w:rPr>
                <w:rFonts w:hint="eastAsia" w:ascii="微软雅黑" w:hAnsi="微软雅黑" w:eastAsia="微软雅黑" w:cs="微软雅黑"/>
                <w:b/>
                <w:bCs/>
                <w:sz w:val="18"/>
                <w:szCs w:val="18"/>
                <w:lang w:val="en-US" w:eastAsia="zh-CN"/>
              </w:rPr>
              <w:t>²</w:t>
            </w:r>
            <w:r>
              <w:rPr>
                <w:rFonts w:hint="eastAsia" w:ascii="仿宋" w:hAnsi="仿宋" w:eastAsia="仿宋" w:cs="仿宋"/>
                <w:b/>
                <w:bCs/>
                <w:sz w:val="18"/>
                <w:szCs w:val="18"/>
                <w:lang w:val="en-US" w:eastAsia="zh-CN"/>
              </w:rPr>
              <w:t>）</w:t>
            </w:r>
          </w:p>
        </w:tc>
        <w:tc>
          <w:tcPr>
            <w:tcW w:w="1095" w:type="dxa"/>
            <w:shd w:val="clear" w:color="auto" w:fill="auto"/>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18"/>
                <w:szCs w:val="18"/>
              </w:rPr>
            </w:pPr>
            <w:r>
              <w:rPr>
                <w:rFonts w:hint="eastAsia" w:ascii="仿宋" w:hAnsi="仿宋" w:eastAsia="仿宋" w:cs="仿宋"/>
                <w:b/>
                <w:bCs/>
                <w:sz w:val="18"/>
                <w:szCs w:val="18"/>
                <w:lang w:val="en-US" w:eastAsia="zh-CN"/>
              </w:rPr>
              <w:t>出让资</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18"/>
                <w:szCs w:val="18"/>
              </w:rPr>
            </w:pPr>
            <w:r>
              <w:rPr>
                <w:rFonts w:hint="eastAsia" w:ascii="仿宋" w:hAnsi="仿宋" w:eastAsia="仿宋" w:cs="仿宋"/>
                <w:b/>
                <w:bCs/>
                <w:sz w:val="18"/>
                <w:szCs w:val="18"/>
                <w:lang w:val="en-US" w:eastAsia="zh-CN"/>
              </w:rPr>
              <w:t>源储量</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sz w:val="18"/>
                <w:szCs w:val="18"/>
                <w:lang w:val="en-US"/>
              </w:rPr>
            </w:pPr>
            <w:r>
              <w:rPr>
                <w:rFonts w:hint="eastAsia" w:ascii="仿宋" w:hAnsi="仿宋" w:eastAsia="仿宋" w:cs="仿宋"/>
                <w:b/>
                <w:bCs/>
                <w:sz w:val="18"/>
                <w:szCs w:val="18"/>
                <w:lang w:val="en-US" w:eastAsia="zh-CN"/>
              </w:rPr>
              <w:t>（万立方米）</w:t>
            </w:r>
          </w:p>
        </w:tc>
        <w:tc>
          <w:tcPr>
            <w:tcW w:w="1080" w:type="dxa"/>
            <w:shd w:val="clear" w:color="auto" w:fill="auto"/>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18"/>
                <w:szCs w:val="18"/>
              </w:rPr>
            </w:pPr>
            <w:r>
              <w:rPr>
                <w:rFonts w:hint="eastAsia" w:ascii="仿宋" w:hAnsi="仿宋" w:eastAsia="仿宋" w:cs="仿宋"/>
                <w:b/>
                <w:bCs/>
                <w:sz w:val="18"/>
                <w:szCs w:val="18"/>
                <w:lang w:val="en-US" w:eastAsia="zh-CN"/>
              </w:rPr>
              <w:t>开采标高（米）</w:t>
            </w:r>
          </w:p>
        </w:tc>
        <w:tc>
          <w:tcPr>
            <w:tcW w:w="1065" w:type="dxa"/>
            <w:shd w:val="clear" w:color="auto" w:fill="auto"/>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sz w:val="18"/>
                <w:szCs w:val="18"/>
                <w:lang w:val="en-US"/>
              </w:rPr>
            </w:pPr>
            <w:r>
              <w:rPr>
                <w:rFonts w:hint="eastAsia" w:ascii="仿宋" w:hAnsi="仿宋" w:eastAsia="仿宋" w:cs="仿宋"/>
                <w:b/>
                <w:bCs/>
                <w:sz w:val="18"/>
                <w:szCs w:val="18"/>
                <w:lang w:val="en-US" w:eastAsia="zh-CN"/>
              </w:rPr>
              <w:t>出让年限（年）</w:t>
            </w:r>
          </w:p>
        </w:tc>
        <w:tc>
          <w:tcPr>
            <w:tcW w:w="979" w:type="dxa"/>
            <w:shd w:val="clear" w:color="auto" w:fill="auto"/>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开采规模</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18"/>
                <w:szCs w:val="18"/>
              </w:rPr>
            </w:pPr>
            <w:r>
              <w:rPr>
                <w:rFonts w:hint="eastAsia" w:ascii="仿宋" w:hAnsi="仿宋" w:eastAsia="仿宋" w:cs="仿宋"/>
                <w:b/>
                <w:bCs/>
                <w:sz w:val="18"/>
                <w:szCs w:val="18"/>
                <w:lang w:val="en-US" w:eastAsia="zh-CN"/>
              </w:rPr>
              <w:t>（万立方米/年）</w:t>
            </w:r>
          </w:p>
        </w:tc>
        <w:tc>
          <w:tcPr>
            <w:tcW w:w="1031" w:type="dxa"/>
            <w:shd w:val="clear" w:color="auto" w:fill="auto"/>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18"/>
                <w:szCs w:val="18"/>
              </w:rPr>
            </w:pPr>
            <w:r>
              <w:rPr>
                <w:rFonts w:hint="eastAsia" w:ascii="仿宋" w:hAnsi="仿宋" w:eastAsia="仿宋" w:cs="仿宋"/>
                <w:b/>
                <w:bCs/>
                <w:sz w:val="18"/>
                <w:szCs w:val="18"/>
                <w:lang w:val="en-US" w:eastAsia="zh-CN"/>
              </w:rPr>
              <w:t>起始价</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18"/>
                <w:szCs w:val="18"/>
              </w:rPr>
            </w:pPr>
            <w:r>
              <w:rPr>
                <w:rFonts w:hint="eastAsia" w:ascii="仿宋" w:hAnsi="仿宋" w:eastAsia="仿宋" w:cs="仿宋"/>
                <w:b/>
                <w:bCs/>
                <w:sz w:val="18"/>
                <w:szCs w:val="18"/>
                <w:lang w:val="en-US" w:eastAsia="zh-CN"/>
              </w:rPr>
              <w:t>（万元）</w:t>
            </w:r>
          </w:p>
        </w:tc>
        <w:tc>
          <w:tcPr>
            <w:tcW w:w="990" w:type="dxa"/>
            <w:shd w:val="clear" w:color="auto" w:fill="auto"/>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18"/>
                <w:szCs w:val="18"/>
              </w:rPr>
            </w:pPr>
            <w:r>
              <w:rPr>
                <w:rFonts w:hint="eastAsia" w:ascii="仿宋" w:hAnsi="仿宋" w:eastAsia="仿宋" w:cs="仿宋"/>
                <w:b/>
                <w:bCs/>
                <w:sz w:val="18"/>
                <w:szCs w:val="18"/>
                <w:lang w:val="en-US" w:eastAsia="zh-CN"/>
              </w:rPr>
              <w:t>竞买保证金（万元）</w:t>
            </w:r>
          </w:p>
        </w:tc>
        <w:tc>
          <w:tcPr>
            <w:tcW w:w="930" w:type="dxa"/>
            <w:shd w:val="clear" w:color="auto" w:fill="auto"/>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18"/>
                <w:szCs w:val="18"/>
              </w:rPr>
            </w:pPr>
            <w:r>
              <w:rPr>
                <w:rFonts w:hint="eastAsia" w:ascii="仿宋" w:hAnsi="仿宋" w:eastAsia="仿宋" w:cs="仿宋"/>
                <w:b/>
                <w:bCs/>
                <w:sz w:val="18"/>
                <w:szCs w:val="18"/>
                <w:lang w:val="en-US" w:eastAsia="zh-CN"/>
              </w:rPr>
              <w:t>增价幅度（万元）</w:t>
            </w:r>
          </w:p>
        </w:tc>
        <w:tc>
          <w:tcPr>
            <w:tcW w:w="791" w:type="dxa"/>
            <w:shd w:val="clear" w:color="auto" w:fill="auto"/>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18"/>
                <w:szCs w:val="18"/>
              </w:rPr>
            </w:pPr>
            <w:r>
              <w:rPr>
                <w:rFonts w:hint="eastAsia" w:ascii="仿宋" w:hAnsi="仿宋" w:eastAsia="仿宋" w:cs="仿宋"/>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6" w:hRule="atLeast"/>
        </w:trPr>
        <w:tc>
          <w:tcPr>
            <w:tcW w:w="454" w:type="dxa"/>
            <w:shd w:val="clear" w:color="auto" w:fill="auto"/>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1293" w:type="dxa"/>
            <w:shd w:val="clear" w:color="auto" w:fill="auto"/>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新疆疏勒县阿拉甫乡阿亚克吉勒尕村建筑用砂矿采矿权</w:t>
            </w:r>
          </w:p>
        </w:tc>
        <w:tc>
          <w:tcPr>
            <w:tcW w:w="687" w:type="dxa"/>
            <w:shd w:val="clear" w:color="auto" w:fill="auto"/>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建筑用砂矿</w:t>
            </w:r>
          </w:p>
        </w:tc>
        <w:tc>
          <w:tcPr>
            <w:tcW w:w="721" w:type="dxa"/>
            <w:shd w:val="clear" w:color="auto" w:fill="auto"/>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疏勒县</w:t>
            </w:r>
          </w:p>
        </w:tc>
        <w:tc>
          <w:tcPr>
            <w:tcW w:w="2620" w:type="dxa"/>
            <w:shd w:val="clear" w:color="auto" w:fill="auto"/>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J1,4316579.00,26373641.59</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J2,4315790.74,26373628.97</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J3,4315770.57,26374429.14</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J4,4316566.23,26374441.84</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18"/>
                <w:szCs w:val="18"/>
              </w:rPr>
            </w:pPr>
          </w:p>
        </w:tc>
        <w:tc>
          <w:tcPr>
            <w:tcW w:w="1036" w:type="dxa"/>
            <w:shd w:val="clear" w:color="auto" w:fill="auto"/>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0.6337</w:t>
            </w:r>
          </w:p>
        </w:tc>
        <w:tc>
          <w:tcPr>
            <w:tcW w:w="1095" w:type="dxa"/>
            <w:shd w:val="clear" w:color="auto" w:fill="auto"/>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146.06</w:t>
            </w:r>
          </w:p>
        </w:tc>
        <w:tc>
          <w:tcPr>
            <w:tcW w:w="1080" w:type="dxa"/>
            <w:shd w:val="clear" w:color="auto" w:fill="auto"/>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1232-1220</w:t>
            </w:r>
          </w:p>
        </w:tc>
        <w:tc>
          <w:tcPr>
            <w:tcW w:w="1065" w:type="dxa"/>
            <w:shd w:val="clear" w:color="auto" w:fill="auto"/>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2.92</w:t>
            </w:r>
          </w:p>
        </w:tc>
        <w:tc>
          <w:tcPr>
            <w:tcW w:w="979" w:type="dxa"/>
            <w:shd w:val="clear" w:color="auto" w:fill="auto"/>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50</w:t>
            </w:r>
          </w:p>
        </w:tc>
        <w:tc>
          <w:tcPr>
            <w:tcW w:w="1031" w:type="dxa"/>
            <w:shd w:val="clear" w:color="auto" w:fill="auto"/>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180" w:firstLineChars="100"/>
              <w:jc w:val="both"/>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389.76</w:t>
            </w:r>
          </w:p>
        </w:tc>
        <w:tc>
          <w:tcPr>
            <w:tcW w:w="990" w:type="dxa"/>
            <w:shd w:val="clear" w:color="auto" w:fill="auto"/>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150</w:t>
            </w:r>
          </w:p>
        </w:tc>
        <w:tc>
          <w:tcPr>
            <w:tcW w:w="930" w:type="dxa"/>
            <w:shd w:val="clear" w:color="auto" w:fill="auto"/>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p>
        </w:tc>
        <w:tc>
          <w:tcPr>
            <w:tcW w:w="791" w:type="dxa"/>
            <w:shd w:val="clear" w:color="auto" w:fill="auto"/>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18"/>
                <w:szCs w:val="18"/>
                <w:lang w:val="en-US" w:eastAsia="zh-CN"/>
              </w:rPr>
            </w:pPr>
          </w:p>
        </w:tc>
      </w:tr>
    </w:tbl>
    <w:p>
      <w:pPr>
        <w:spacing w:line="570" w:lineRule="exact"/>
        <w:rPr>
          <w:rFonts w:ascii="仿宋_GB2312" w:hAnsi="仿宋_GB2312" w:eastAsia="仿宋_GB2312" w:cs="仿宋_GB2312"/>
        </w:rPr>
        <w:sectPr>
          <w:footerReference r:id="rId4" w:type="default"/>
          <w:pgSz w:w="16838" w:h="11906" w:orient="landscape"/>
          <w:pgMar w:top="1800" w:right="1440" w:bottom="1800" w:left="1440" w:header="851" w:footer="992" w:gutter="0"/>
          <w:cols w:space="425" w:num="1"/>
          <w:docGrid w:type="lines" w:linePitch="312" w:charSpace="0"/>
        </w:sectPr>
      </w:pPr>
    </w:p>
    <w:p>
      <w:pPr>
        <w:spacing w:line="57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三、竞买人的资质条件</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（一）凡具备开采所需资金等条件的中华人民共和国境内的营利法人（除法律，法规另外有规定）均可申请竞买。</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（二）独立法人，不接受联合体竞买。</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未曾出现矿业权竞买违约行为，在生产经营活动中无重大违法违规行为（未被“信用中国网站”列入“严重失信主体名单”、“经营异常名录”、“安全生产领域失信生产经营单位”；未被“国家企业信用信息公示系统”列入“经营异常名录”、“严重违法失信企业名单”；经“自然资源部全国矿业权人勘查开采信息公示系统”核查，未被列入严重违法名单）。</w:t>
      </w:r>
    </w:p>
    <w:p>
      <w:pPr>
        <w:spacing w:line="570" w:lineRule="exact"/>
        <w:ind w:firstLine="640" w:firstLineChars="200"/>
        <w:rPr>
          <w:rFonts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（四）法律、行政法规规定和相关主管部门要求的其他条件。</w:t>
      </w:r>
    </w:p>
    <w:p>
      <w:pPr>
        <w:spacing w:line="57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bCs/>
          <w:sz w:val="32"/>
          <w:szCs w:val="32"/>
        </w:rPr>
        <w:t>四、竞买人具备勘查开采相匹配的资金实力及相关要求</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方正仿宋_GBK" w:eastAsia="仿宋_GB2312" w:cs="方正仿宋_GBK"/>
          <w:sz w:val="32"/>
          <w:szCs w:val="32"/>
        </w:rPr>
        <w:t>竞买人应具有与参与竞买采矿权规模相适应的资金实力等，依法履行安全生产、水土保持、环境保护、地质环境恢复治理、土地复垦等法定义务</w:t>
      </w:r>
      <w:r>
        <w:rPr>
          <w:rFonts w:hint="eastAsia" w:ascii="仿宋_GB2312" w:hAnsi="仿宋_GB2312" w:eastAsia="仿宋_GB2312" w:cs="仿宋_GB2312"/>
          <w:sz w:val="32"/>
          <w:szCs w:val="32"/>
        </w:rPr>
        <w:t>。</w:t>
      </w:r>
    </w:p>
    <w:p>
      <w:pPr>
        <w:spacing w:line="57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五、出让方式及交易时间、地点（北京时间）</w:t>
      </w:r>
    </w:p>
    <w:p>
      <w:pPr>
        <w:spacing w:line="57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（一）出让方式</w:t>
      </w:r>
    </w:p>
    <w:p>
      <w:pPr>
        <w:spacing w:line="570" w:lineRule="exact"/>
        <w:ind w:firstLine="1600" w:firstLineChars="5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挂牌出让。</w:t>
      </w:r>
    </w:p>
    <w:p>
      <w:pPr>
        <w:spacing w:line="57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（二）交易时间：</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1.公告时间：202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年1月</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日至202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年2月</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日；</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2.挂牌报价时间：202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日至202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日1</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:00止（北京时间，下同）；</w:t>
      </w:r>
    </w:p>
    <w:p>
      <w:pPr>
        <w:spacing w:line="57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3.限时竞价时间：202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日16:00开始。</w:t>
      </w:r>
    </w:p>
    <w:p>
      <w:pPr>
        <w:spacing w:line="57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（三）交易地点：</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喀什地区公共资源交易中心（喀什地区疏附县吾库萨克镇昆仑农批市场内西侧）。</w:t>
      </w:r>
    </w:p>
    <w:p>
      <w:pPr>
        <w:spacing w:line="57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六、获取挂牌文件的途径和申请报名的时间、方式</w:t>
      </w:r>
    </w:p>
    <w:p>
      <w:pPr>
        <w:spacing w:line="57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（一）获取挂牌文件的途径</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竞买申请人登陆喀什地区公共资源交易中心网站（http://www.ggzykashi.cn/），进入首页-矿权交易-交易公告-查看附件获取挂牌文件。</w:t>
      </w:r>
    </w:p>
    <w:p>
      <w:pPr>
        <w:spacing w:line="57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（二）申请报名的时间和方式</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1.报名时间：202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年1月</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日至202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日18:00时止（以保证金到账时间为准）。 </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2.报名方式：网上报名。</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报名前的准备。凡有意参与采矿权网上挂牌交易的竞买人，均应在报名时间期限内到喀什市东城行政审批局一楼企业服务专区数字证书窗口办理CA锁，取得CA锁后方可参与网上报名申请，CA有效数字证书包括：企业、法定代表人数字证书及签章等。竞买申请人可以选择翔晟CFCA或者新疆CA，选其一即可，功能一致，具体办理方法及收费标准咨询CA公司。</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竞买申请人取得CA有效数字证书后，持CA锁登陆喀什地区公共资源交易中心网站（http://www.ggzykashi.cn/），进入首页-服务指南-下载中心-查看【矿权交易竞买人操作手册】指引进行操作，竞买人需进行交易主体登录，完善诚信库基本信息，做好平台入库和网上报名。因配置不当或竞买人的计算机软件、硬件或网络出现故障不能正常参加竞买的，后果由竞买人自行承担，挂牌出让活动不因此停止。</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（3）竞买申请人请于202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日至202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日18:00前，登录喀什地区公共资源交易中心网站（http://www.ggzykashi.cn/），持CA数字证书登录进行网上上传报名资料和缴纳竞买保证金。</w:t>
      </w:r>
    </w:p>
    <w:p>
      <w:pPr>
        <w:spacing w:line="570" w:lineRule="exact"/>
        <w:ind w:firstLine="640" w:firstLineChars="200"/>
        <w:rPr>
          <w:rFonts w:ascii="仿宋_GB2312" w:hAnsi="仿宋_GB2312" w:eastAsia="仿宋_GB2312" w:cs="仿宋_GB2312"/>
          <w:sz w:val="32"/>
          <w:szCs w:val="32"/>
        </w:rPr>
      </w:pPr>
      <w:r>
        <w:rPr>
          <w:rFonts w:hint="eastAsia" w:ascii="方正仿宋_GBK" w:hAnsi="方正仿宋_GBK" w:eastAsia="方正仿宋_GBK" w:cs="方正仿宋_GBK"/>
          <w:sz w:val="32"/>
          <w:szCs w:val="32"/>
        </w:rPr>
        <w:t>3.申请报名需提供的资料：</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（1）采矿权竞买申请书、承诺书(详见附件)；</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（2）营业执照；</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（3）银行开户许可证或基本存款账户信息；</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（4）法定代表人身份证明(详见附件)；  </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（5）授权委托书(详见附件)；</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（6）竞买保证金缴纳凭证；</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（7）资料费缴纳凭证；</w:t>
      </w:r>
    </w:p>
    <w:p>
      <w:pPr>
        <w:spacing w:line="57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上传在国家企业信用信息公示系统（https://www.gsxt.gov.cn/index.html）及信用中国（https://www.creditchina.gov.cn/）平台未被列入严重违法失信企业黑名单的“企业信用信息公示报告”、“法人和其他组织信用信息概况”的截图或报告。</w:t>
      </w:r>
    </w:p>
    <w:p>
      <w:pPr>
        <w:spacing w:line="57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注：无委托代理人的无须提供第5项材料；需上传清晰的报名材料电子版（PDF格式）。</w:t>
      </w:r>
    </w:p>
    <w:p>
      <w:pPr>
        <w:adjustRightInd w:val="0"/>
        <w:snapToGrid w:val="0"/>
        <w:spacing w:line="57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bCs/>
          <w:sz w:val="32"/>
          <w:szCs w:val="32"/>
        </w:rPr>
        <w:t>（三）资格确认</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竞买人的报名申请资料由代理机构在线进行资格审查，确认竞买资格后，出具《竞买资格确认书》（如有提供虚假材料和不实承诺等情形的将被取消竞买资格）。</w:t>
      </w:r>
    </w:p>
    <w:p>
      <w:pPr>
        <w:spacing w:line="57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七、报价、限时竞价及确定竞得人的标准和方法</w:t>
      </w:r>
    </w:p>
    <w:p>
      <w:pPr>
        <w:spacing w:line="57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（一）报价</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1.报价时间：202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日至202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日</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:00前。 </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2.报价方式：竞买申请人须在规定时间内，到喀什地区公共资源交易中心一楼办公室提交报价单，报价相同的，最先报价为有效报价；代理机构确认有效报价后，更新挂牌价。</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3.增价方式：本次采矿权出让采用增价报价方式，每次增价幅度为一个增价幅度或增价幅度的整数倍。</w:t>
      </w:r>
    </w:p>
    <w:p>
      <w:pPr>
        <w:spacing w:line="57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（二）限时竞价</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1.限时竞价时间及地点：202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日1</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:00开始；地点：喀什地区公共资源交易中心一楼，未按时到场视为放弃竞价资格。</w:t>
      </w:r>
    </w:p>
    <w:p>
      <w:pPr>
        <w:spacing w:line="570" w:lineRule="exact"/>
        <w:ind w:firstLine="640" w:firstLineChars="200"/>
        <w:rPr>
          <w:rFonts w:ascii="仿宋_GB2312" w:hAnsi="仿宋_GB2312" w:eastAsia="仿宋_GB2312" w:cs="仿宋_GB2312"/>
          <w:sz w:val="32"/>
          <w:szCs w:val="32"/>
        </w:rPr>
      </w:pPr>
      <w:r>
        <w:rPr>
          <w:rFonts w:hint="eastAsia" w:ascii="方正仿宋_GBK" w:hAnsi="方正仿宋_GBK" w:eastAsia="方正仿宋_GBK" w:cs="方正仿宋_GBK"/>
          <w:sz w:val="32"/>
          <w:szCs w:val="32"/>
        </w:rPr>
        <w:t>2.竞价方式：现场限时竞价。</w:t>
      </w:r>
    </w:p>
    <w:p>
      <w:pPr>
        <w:spacing w:line="57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（三）确定竞得人的标准和方法</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本次采矿权挂牌出让为以不低于起始价的最高报价者为竞得人。</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（1）挂牌期限届满，宣布最高报价及其报价者，并询问竞买人是否愿意继续竞价。有愿意继续竞价的，通过现场限时竞价确定竞得人。</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（2）有底价的，不低于底价的最高报价者为竞得人；无底价的，不低于起始价的最高报价者为竞得人。如在挂牌期限内只有一个竞买人报价且不低于底价，挂牌成交。</w:t>
      </w:r>
    </w:p>
    <w:p>
      <w:pPr>
        <w:spacing w:line="570" w:lineRule="exact"/>
        <w:ind w:firstLine="640" w:firstLineChars="200"/>
        <w:rPr>
          <w:rFonts w:ascii="仿宋_GB2312" w:hAnsi="仿宋_GB2312" w:eastAsia="仿宋_GB2312" w:cs="仿宋_GB2312"/>
          <w:sz w:val="32"/>
          <w:szCs w:val="32"/>
        </w:rPr>
      </w:pPr>
      <w:r>
        <w:rPr>
          <w:rFonts w:hint="eastAsia" w:ascii="方正仿宋_GBK" w:hAnsi="方正仿宋_GBK" w:eastAsia="方正仿宋_GBK" w:cs="方正仿宋_GBK"/>
          <w:sz w:val="32"/>
          <w:szCs w:val="32"/>
        </w:rPr>
        <w:t>无人报价或者竞买人报价低于底价的，不成交。</w:t>
      </w:r>
    </w:p>
    <w:p>
      <w:pPr>
        <w:spacing w:line="57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bCs/>
          <w:sz w:val="32"/>
          <w:szCs w:val="32"/>
        </w:rPr>
        <w:t>八、竞买保证金及资料费的交纳与处置</w:t>
      </w:r>
    </w:p>
    <w:p>
      <w:pPr>
        <w:spacing w:line="57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（一）竞买保证金的缴纳方式</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竞买申请人请于北京时间202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日18:00前缴纳竞买保证金。（汇款账户需与竞买申请人的名称、诚信库录入的名称一致，以喀什地区公共资源交易中心查询到账时间为准，保证金金额详见《出让采矿权项目基本情况表》）。</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挂牌成交后，竞买人成为竞得人时竞买保证金即刻转为履约保证金，其他竞买人的保证金在挂牌结束手续齐全后5个工作日内无息退还。</w:t>
      </w:r>
    </w:p>
    <w:p>
      <w:pPr>
        <w:spacing w:line="57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（二）资料费的缴纳方式</w:t>
      </w:r>
    </w:p>
    <w:p>
      <w:pPr>
        <w:adjustRightInd w:val="0"/>
        <w:snapToGrid w:val="0"/>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照《关于规范政务服务和公共资源交易中心收费项目和标准的通知》（新发改服价[2020]578号）的收费标准，以招标拍卖挂牌和协议方式出让、转让矿业权等提供招标拍卖挂牌文件、资料的，按每宗矿业权每套收取2000元的资料费。对收取矿业权交易服务费的应退回资料费。</w:t>
      </w:r>
    </w:p>
    <w:p>
      <w:pPr>
        <w:spacing w:line="57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九、签订《成交确认书》及服务费的缴纳</w:t>
      </w:r>
    </w:p>
    <w:p>
      <w:pPr>
        <w:spacing w:line="570" w:lineRule="exact"/>
        <w:ind w:firstLine="640" w:firstLineChars="200"/>
        <w:rPr>
          <w:rFonts w:ascii="仿宋_GB2312" w:hAnsi="仿宋_GB2312" w:eastAsia="仿宋_GB2312" w:cs="仿宋_GB2312"/>
          <w:sz w:val="32"/>
          <w:szCs w:val="32"/>
        </w:rPr>
      </w:pPr>
      <w:r>
        <w:rPr>
          <w:rFonts w:hint="eastAsia" w:ascii="方正仿宋_GBK" w:hAnsi="方正仿宋_GBK" w:eastAsia="方正仿宋_GBK" w:cs="方正仿宋_GBK"/>
          <w:sz w:val="32"/>
          <w:szCs w:val="32"/>
        </w:rPr>
        <w:t>挂牌成交后，竞得人与交易中心、出让人当场签订《采矿权成交确认书》，并参照《关于规范政务服务和公共资源交易中心收费项目和标准的通知》（新发改服价[2020]578号）在成交确认10个工作日内缴纳交易服务费，未在约定期限内缴清交易服务费，竞买保证金转为违约金，并承担相应竞买违约责任，交易服务费从竞买保证金中扣除</w:t>
      </w:r>
      <w:r>
        <w:rPr>
          <w:rFonts w:hint="eastAsia" w:ascii="仿宋_GB2312" w:hAnsi="仿宋_GB2312" w:eastAsia="仿宋_GB2312" w:cs="仿宋_GB2312"/>
          <w:sz w:val="32"/>
          <w:szCs w:val="32"/>
        </w:rPr>
        <w:t>。</w:t>
      </w:r>
    </w:p>
    <w:p>
      <w:pPr>
        <w:spacing w:line="57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十、成交结果公示</w:t>
      </w:r>
    </w:p>
    <w:p>
      <w:pPr>
        <w:spacing w:line="570" w:lineRule="exact"/>
        <w:ind w:firstLine="640" w:firstLineChars="200"/>
        <w:rPr>
          <w:rFonts w:ascii="仿宋_GB2312" w:hAnsi="仿宋_GB2312" w:eastAsia="仿宋_GB2312" w:cs="仿宋_GB2312"/>
          <w:sz w:val="32"/>
          <w:szCs w:val="32"/>
        </w:rPr>
      </w:pPr>
      <w:r>
        <w:rPr>
          <w:rFonts w:hint="eastAsia" w:ascii="方正仿宋_GBK" w:hAnsi="方正仿宋_GBK" w:eastAsia="方正仿宋_GBK" w:cs="方正仿宋_GBK"/>
          <w:sz w:val="32"/>
          <w:szCs w:val="32"/>
        </w:rPr>
        <w:t>成交结果将于《采矿权出让成交确认书》签订之日起5个工作日内通过自然资源部网站、喀什地区公共资源交易网公示10个工作日。</w:t>
      </w:r>
    </w:p>
    <w:p>
      <w:pPr>
        <w:spacing w:line="57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bCs/>
          <w:sz w:val="32"/>
          <w:szCs w:val="32"/>
        </w:rPr>
        <w:t>十一、出让合同签订 </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竞得人应在成交公示期满后</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个工作日内与出让人签订《采矿权出让合同》，竞得人除不可抗力因素外，逾期不签订合同，取消其竞得人资格，竞得人承担违约责任。</w:t>
      </w:r>
    </w:p>
    <w:p>
      <w:pPr>
        <w:spacing w:line="57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bCs/>
          <w:sz w:val="32"/>
          <w:szCs w:val="32"/>
        </w:rPr>
        <w:t>十二、注意事项及风险提示</w:t>
      </w:r>
    </w:p>
    <w:p>
      <w:pPr>
        <w:spacing w:line="57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（一）矿业权多目标管理：</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1.节约集约利用矿产资源，矿产资源节约率和利用率不断提高。</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2.依法缴纳资源税。</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3.遵守国家有关劳动安全、水土保持、土地复垦和环境保护等法律、法规。</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4.竞得人需按照相关要求自觉接受自然资源、生态环境、林业、水利、应急等相关部门的监督和动态管理。</w:t>
      </w:r>
    </w:p>
    <w:p>
      <w:pPr>
        <w:spacing w:line="57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竞得人须承担绿色矿山建设的主体责任，要依据《关于加快建设绿色矿山的实施意见》（国土资规〔2017〕4号）文件精神，按照绿色矿山发展的标准进行绿色矿山建设，打造形成布局合理、集约高效、环境优良、区域经济良性发展的绿色矿业。竞得人在以后的开发利用中必须严格按照绿色矿山的标准，建设、投产。</w:t>
      </w:r>
    </w:p>
    <w:p>
      <w:pPr>
        <w:spacing w:line="57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（三）竞得人要严格按照《矿产资源开发利用方案》进行开采，坚持“边开采，边治理”原则，履行矿山地质环境保护与土地复垦义务。</w:t>
      </w:r>
    </w:p>
    <w:p>
      <w:pPr>
        <w:spacing w:line="57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四）竞得人必须按照国家、自治区、地区、县市有关矿山地质环境保护及土地复垦工作相关法规和政策文件的要求，建立基金存储账户，依据《方案》计提矿山地质环境恢复治理基金，开展矿山地质环境治理和土地复垦工作，并依法履行相关义务。</w:t>
      </w:r>
    </w:p>
    <w:p>
      <w:pPr>
        <w:spacing w:line="57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（五）竞得人需向第三方勘查单位支付前期勘查费用。</w:t>
      </w:r>
    </w:p>
    <w:p>
      <w:pPr>
        <w:spacing w:line="57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bCs/>
          <w:sz w:val="32"/>
          <w:szCs w:val="32"/>
        </w:rPr>
        <w:t>（六）矿产资源勘查开采具有高风险、高投入的特点。出让人提供的相关地质资料基于现阶段的认识，仅供参考。 </w:t>
      </w:r>
      <w:r>
        <w:rPr>
          <w:rFonts w:hint="eastAsia" w:ascii="方正楷体_GBK" w:hAnsi="方正楷体_GBK" w:eastAsia="方正楷体_GBK" w:cs="方正楷体_GBK"/>
          <w:sz w:val="32"/>
          <w:szCs w:val="32"/>
        </w:rPr>
        <w:t> </w:t>
      </w:r>
    </w:p>
    <w:p>
      <w:pPr>
        <w:spacing w:line="57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十三、对交易采矿权异议的处理方式</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在《采矿权出让合同》签订前，对交易过程中产生的异议，由交易平台予以澄清。在《采矿权出让合同》签订后产生的争议，按合同约定执行。如对出让的采矿权存在异议，请在公告期内以书面方式提出。</w:t>
      </w:r>
    </w:p>
    <w:p>
      <w:pPr>
        <w:spacing w:line="57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十四、失信联合惩戒提示</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竞买人应遵循“公平公正、诚实信用”的原则参与本次竞买，对所提交的文件和其他资料的真实性、合法性负责。对违反公共资源交易法律法规，违背诚实信用原则的竞买人，将按照《印发〈关于对公共资源领域严重失信主体开展联合惩戒备忘录〉的通知》（发改规〔2018〕457号）的规定，对相关失信企业和失信个人实施联合惩戒并按照公告约定承担相应的违约责任。</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（二）有下列情形之一的，竞得结果无效，将其列入失信联合惩戒名单并承担相当于竞买保证金的违约金，造成经济损失的还负赔偿责任，出让方有权不再签订合同或解除合同：</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1.竞得人拒绝签订《采矿权成交确认书》及不能如期按规（约）定交纳交易服务费的； </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2.在交易结果公示无异议后，竞得人因自身原因未在规定时间内与出让人签订《采矿权出让合同》的，或者拒绝签订的，或签订合同后，未按照合同约定缴纳出让收益的；</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3.竞得人提供虚假文件、资料或者隐瞒事实的；</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4.采取行贿或其他不正当手段竞得的；</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5.法律法规规定的其他情形。</w:t>
      </w:r>
    </w:p>
    <w:p>
      <w:pPr>
        <w:spacing w:line="57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十五、其他事项</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（一）本次挂牌只接受网上报名，不接受现场书面报名以及电话、邮寄、口头等方式的报名。</w:t>
      </w:r>
      <w:r>
        <w:rPr>
          <w:rFonts w:ascii="Cambria" w:hAnsi="Cambria" w:eastAsia="方正仿宋_GBK" w:cs="Cambria"/>
          <w:sz w:val="32"/>
          <w:szCs w:val="32"/>
        </w:rPr>
        <w:t> </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（二）本次采矿权出让事项如有变更，将发布变更公告，以挂牌出让前最后公告中的内容为准。</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（三）本次采矿权出让的详细资料和具体要求见出让文件。</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（四）本次出让公告其他未尽事宜，由挂牌代理机构负责解释和通知。</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（五）本次采矿权挂牌出让事宜可浏览：</w:t>
      </w:r>
    </w:p>
    <w:p>
      <w:pPr>
        <w:spacing w:line="57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1.中华人民共和国自然资源部网:https://www.mnr.gov.cn/</w:t>
      </w:r>
    </w:p>
    <w:p>
      <w:pPr>
        <w:spacing w:line="57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疏勒县人民政府网</w:t>
      </w:r>
      <w:r>
        <w:rPr>
          <w:rFonts w:hint="eastAsia" w:ascii="方正仿宋_GBK" w:hAnsi="方正仿宋_GBK" w:eastAsia="方正仿宋_GBK" w:cs="方正仿宋_GBK"/>
          <w:sz w:val="32"/>
          <w:szCs w:val="32"/>
        </w:rPr>
        <w:t>：http://www.</w:t>
      </w:r>
      <w:r>
        <w:rPr>
          <w:rFonts w:hint="eastAsia" w:ascii="方正仿宋_GBK" w:hAnsi="方正仿宋_GBK" w:eastAsia="方正仿宋_GBK" w:cs="方正仿宋_GBK"/>
          <w:sz w:val="32"/>
          <w:szCs w:val="32"/>
          <w:lang w:val="en-US" w:eastAsia="zh-CN"/>
        </w:rPr>
        <w:t>shule</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gov.</w:t>
      </w:r>
      <w:r>
        <w:rPr>
          <w:rFonts w:hint="eastAsia" w:ascii="方正仿宋_GBK" w:hAnsi="方正仿宋_GBK" w:eastAsia="方正仿宋_GBK" w:cs="方正仿宋_GBK"/>
          <w:sz w:val="32"/>
          <w:szCs w:val="32"/>
        </w:rPr>
        <w:t>cn/</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3.喀什地区公共资源交易网：</w:t>
      </w:r>
      <w:r>
        <w:fldChar w:fldCharType="begin"/>
      </w:r>
      <w:r>
        <w:instrText xml:space="preserve"> HYPERLINK "http://www.ggzykashi.cn/" </w:instrText>
      </w:r>
      <w:r>
        <w:fldChar w:fldCharType="separate"/>
      </w:r>
      <w:r>
        <w:rPr>
          <w:rFonts w:hint="eastAsia" w:ascii="方正仿宋_GBK" w:hAnsi="方正仿宋_GBK" w:eastAsia="方正仿宋_GBK" w:cs="方正仿宋_GBK"/>
          <w:sz w:val="32"/>
          <w:szCs w:val="32"/>
        </w:rPr>
        <w:t>http://www.ggzykashi.cn/</w:t>
      </w:r>
      <w:r>
        <w:rPr>
          <w:rFonts w:hint="eastAsia" w:ascii="方正仿宋_GBK" w:hAnsi="方正仿宋_GBK" w:eastAsia="方正仿宋_GBK" w:cs="方正仿宋_GBK"/>
          <w:sz w:val="32"/>
          <w:szCs w:val="32"/>
        </w:rPr>
        <w:fldChar w:fldCharType="end"/>
      </w:r>
    </w:p>
    <w:p>
      <w:pPr>
        <w:spacing w:line="57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（六）咨询和监督电话</w:t>
      </w:r>
    </w:p>
    <w:p>
      <w:pPr>
        <w:spacing w:line="57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出让人联系人：</w:t>
      </w:r>
      <w:r>
        <w:rPr>
          <w:rFonts w:hint="eastAsia" w:ascii="方正仿宋_GBK" w:hAnsi="方正仿宋_GBK" w:eastAsia="方正仿宋_GBK" w:cs="方正仿宋_GBK"/>
          <w:sz w:val="32"/>
          <w:szCs w:val="32"/>
          <w:lang w:val="en-US" w:eastAsia="zh-CN"/>
        </w:rPr>
        <w:t>蒋书生</w:t>
      </w:r>
    </w:p>
    <w:p>
      <w:pPr>
        <w:spacing w:line="57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咨询电话：</w:t>
      </w:r>
      <w:r>
        <w:rPr>
          <w:rFonts w:hint="eastAsia" w:ascii="方正仿宋_GBK" w:hAnsi="方正仿宋_GBK" w:eastAsia="方正仿宋_GBK" w:cs="方正仿宋_GBK"/>
          <w:sz w:val="32"/>
          <w:szCs w:val="32"/>
          <w:lang w:val="en-US" w:eastAsia="zh-CN"/>
        </w:rPr>
        <w:t>15292922229</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交易平台联系人：盘先生</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联系电话：0998-5885151</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新疆公信拍卖有限公司：茹女士</w:t>
      </w:r>
    </w:p>
    <w:p>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联系电话：15686267005</w:t>
      </w:r>
    </w:p>
    <w:p>
      <w:pPr>
        <w:adjustRightInd w:val="0"/>
        <w:snapToGrid w:val="0"/>
        <w:spacing w:line="570" w:lineRule="exact"/>
        <w:ind w:firstLine="640" w:firstLineChars="200"/>
        <w:rPr>
          <w:rFonts w:ascii="仿宋" w:hAnsi="仿宋" w:eastAsia="仿宋" w:cs="仿宋"/>
          <w:sz w:val="32"/>
          <w:szCs w:val="32"/>
        </w:rPr>
      </w:pPr>
    </w:p>
    <w:p>
      <w:pPr>
        <w:adjustRightInd w:val="0"/>
        <w:snapToGrid w:val="0"/>
        <w:spacing w:line="570" w:lineRule="exact"/>
        <w:ind w:firstLine="643"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附件：</w:t>
      </w:r>
      <w:r>
        <w:rPr>
          <w:rFonts w:hint="eastAsia" w:ascii="方正仿宋_GBK" w:hAnsi="方正仿宋_GBK" w:eastAsia="方正仿宋_GBK" w:cs="方正仿宋_GBK"/>
          <w:sz w:val="32"/>
          <w:szCs w:val="32"/>
        </w:rPr>
        <w:t>1.采矿权竞买申请书（格式）</w:t>
      </w:r>
    </w:p>
    <w:p>
      <w:pPr>
        <w:snapToGrid w:val="0"/>
        <w:spacing w:line="57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2.矿业权竞买承诺书（格式）</w:t>
      </w:r>
    </w:p>
    <w:p>
      <w:pPr>
        <w:snapToGrid w:val="0"/>
        <w:spacing w:line="57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3.法定代表人身份证明（格式）</w:t>
      </w:r>
    </w:p>
    <w:p>
      <w:pPr>
        <w:snapToGrid w:val="0"/>
        <w:spacing w:line="57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4.授权委托书（格式）</w:t>
      </w:r>
    </w:p>
    <w:p>
      <w:pPr>
        <w:snapToGrid w:val="0"/>
        <w:spacing w:line="57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5.挂牌文件（格式）</w:t>
      </w:r>
    </w:p>
    <w:p>
      <w:pPr>
        <w:snapToGrid w:val="0"/>
        <w:spacing w:line="570" w:lineRule="exact"/>
        <w:ind w:firstLine="320" w:firstLineChars="100"/>
        <w:rPr>
          <w:rFonts w:ascii="仿宋_GB2312" w:hAnsi="仿宋_GB2312" w:eastAsia="仿宋_GB2312" w:cs="仿宋_GB2312"/>
          <w:sz w:val="32"/>
          <w:szCs w:val="32"/>
        </w:rPr>
      </w:pPr>
    </w:p>
    <w:p>
      <w:pPr>
        <w:snapToGrid w:val="0"/>
        <w:spacing w:line="570" w:lineRule="exact"/>
        <w:ind w:firstLine="320" w:firstLineChars="100"/>
        <w:rPr>
          <w:rFonts w:ascii="仿宋_GB2312" w:hAnsi="仿宋_GB2312" w:eastAsia="仿宋_GB2312" w:cs="仿宋_GB2312"/>
          <w:sz w:val="32"/>
          <w:szCs w:val="32"/>
        </w:rPr>
      </w:pPr>
    </w:p>
    <w:p>
      <w:pPr>
        <w:snapToGrid w:val="0"/>
        <w:spacing w:line="570" w:lineRule="exact"/>
        <w:ind w:firstLine="960" w:firstLineChars="3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疏勒县</w:t>
      </w:r>
      <w:r>
        <w:rPr>
          <w:rFonts w:hint="eastAsia" w:ascii="方正仿宋_GBK" w:hAnsi="方正仿宋_GBK" w:eastAsia="方正仿宋_GBK" w:cs="方正仿宋_GBK"/>
          <w:sz w:val="32"/>
          <w:szCs w:val="32"/>
        </w:rPr>
        <w:t>自然资源局</w:t>
      </w:r>
      <w:r>
        <w:rPr>
          <w:rFonts w:hint="eastAsia" w:ascii="仿宋_GB2312" w:hAnsi="仿宋_GB2312" w:eastAsia="仿宋_GB2312" w:cs="仿宋_GB2312"/>
          <w:sz w:val="32"/>
          <w:szCs w:val="32"/>
        </w:rPr>
        <w:t>   </w:t>
      </w:r>
      <w:r>
        <w:rPr>
          <w:rFonts w:hint="eastAsia" w:ascii="方正仿宋_GBK" w:hAnsi="方正仿宋_GBK" w:eastAsia="方正仿宋_GBK" w:cs="方正仿宋_GBK"/>
          <w:sz w:val="32"/>
          <w:szCs w:val="32"/>
        </w:rPr>
        <w:t>新疆公信拍卖有限公司</w:t>
      </w:r>
    </w:p>
    <w:p>
      <w:pPr>
        <w:snapToGrid w:val="0"/>
        <w:spacing w:line="570" w:lineRule="exact"/>
        <w:ind w:firstLine="960" w:firstLineChars="300"/>
        <w:rPr>
          <w:rFonts w:hint="eastAsia" w:ascii="方正仿宋_GBK" w:hAnsi="方正仿宋_GBK" w:eastAsia="方正仿宋_GBK" w:cs="方正仿宋_GBK"/>
          <w:sz w:val="32"/>
          <w:szCs w:val="32"/>
        </w:rPr>
      </w:pPr>
    </w:p>
    <w:p>
      <w:pPr>
        <w:snapToGrid w:val="0"/>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日</w:t>
      </w:r>
    </w:p>
    <w:p>
      <w:pPr>
        <w:snapToGrid w:val="0"/>
        <w:spacing w:line="540" w:lineRule="exact"/>
        <w:ind w:firstLine="960" w:firstLineChars="300"/>
        <w:rPr>
          <w:rFonts w:ascii="方正仿宋_GBK" w:hAnsi="方正仿宋_GBK" w:eastAsia="方正仿宋_GBK" w:cs="方正仿宋_GBK"/>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08005D8C-AB15-4CE1-AAE8-E5DD14BC304B}"/>
  </w:font>
  <w:font w:name="方正小标宋_GBK">
    <w:panose1 w:val="03000509000000000000"/>
    <w:charset w:val="86"/>
    <w:family w:val="script"/>
    <w:pitch w:val="default"/>
    <w:sig w:usb0="00000001" w:usb1="080E0000" w:usb2="00000000" w:usb3="00000000" w:csb0="00040000" w:csb1="00000000"/>
    <w:embedRegular r:id="rId2" w:fontKey="{0FC2D282-EA2D-4E87-848A-4436159AA8C6}"/>
  </w:font>
  <w:font w:name="仿宋">
    <w:panose1 w:val="02010609060101010101"/>
    <w:charset w:val="86"/>
    <w:family w:val="modern"/>
    <w:pitch w:val="default"/>
    <w:sig w:usb0="800002BF" w:usb1="38CF7CFA" w:usb2="00000016" w:usb3="00000000" w:csb0="00040001" w:csb1="00000000"/>
    <w:embedRegular r:id="rId3" w:fontKey="{E17F878E-7AD6-493A-A34A-14F38B8A8C11}"/>
  </w:font>
  <w:font w:name="方正仿宋_GBK">
    <w:panose1 w:val="03000509000000000000"/>
    <w:charset w:val="86"/>
    <w:family w:val="script"/>
    <w:pitch w:val="default"/>
    <w:sig w:usb0="00000001" w:usb1="080E0000" w:usb2="00000000" w:usb3="00000000" w:csb0="00040000" w:csb1="00000000"/>
    <w:embedRegular r:id="rId4" w:fontKey="{B2D2D73D-7CC1-4DBA-BDEB-EF7EC9B84784}"/>
  </w:font>
  <w:font w:name="方正黑体_GBK">
    <w:panose1 w:val="03000509000000000000"/>
    <w:charset w:val="86"/>
    <w:family w:val="script"/>
    <w:pitch w:val="default"/>
    <w:sig w:usb0="00000001" w:usb1="080E0000" w:usb2="00000000" w:usb3="00000000" w:csb0="00040000" w:csb1="00000000"/>
    <w:embedRegular r:id="rId5" w:fontKey="{F2644B10-DE87-438B-A5FE-896A29E9AAAB}"/>
  </w:font>
  <w:font w:name="方正楷体_GBK">
    <w:panose1 w:val="03000509000000000000"/>
    <w:charset w:val="86"/>
    <w:family w:val="script"/>
    <w:pitch w:val="default"/>
    <w:sig w:usb0="00000001" w:usb1="080E0000" w:usb2="00000000" w:usb3="00000000" w:csb0="00040000" w:csb1="00000000"/>
    <w:embedRegular r:id="rId6" w:fontKey="{2EE2D267-0FAD-4F07-B0FB-376880929332}"/>
  </w:font>
  <w:font w:name="仿宋_GB2312">
    <w:panose1 w:val="02010609030101010101"/>
    <w:charset w:val="86"/>
    <w:family w:val="modern"/>
    <w:pitch w:val="default"/>
    <w:sig w:usb0="00000001" w:usb1="080E0000" w:usb2="00000000" w:usb3="00000000" w:csb0="00040000" w:csb1="00000000"/>
    <w:embedRegular r:id="rId7" w:fontKey="{36C034B3-2655-425B-85A8-528B2A6BD855}"/>
  </w:font>
  <w:font w:name="微软雅黑">
    <w:panose1 w:val="020B0503020204020204"/>
    <w:charset w:val="86"/>
    <w:family w:val="auto"/>
    <w:pitch w:val="default"/>
    <w:sig w:usb0="80000287" w:usb1="280F3C52" w:usb2="00000016" w:usb3="00000000" w:csb0="0004001F" w:csb1="00000000"/>
    <w:embedRegular r:id="rId8" w:fontKey="{9FEBDEE4-1FFF-405B-AB33-2CB29E664F6E}"/>
  </w:font>
  <w:font w:name="Cambria">
    <w:panose1 w:val="02040503050406030204"/>
    <w:charset w:val="00"/>
    <w:family w:val="roman"/>
    <w:pitch w:val="default"/>
    <w:sig w:usb0="E00002FF" w:usb1="400004FF" w:usb2="00000000" w:usb3="00000000" w:csb0="2000019F" w:csb1="00000000"/>
    <w:embedRegular r:id="rId9" w:fontKey="{53565A92-8061-41EF-9552-5B1A23F936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NjIyMzgzZTk2M2I2ZDRjZWQ2YjM1NTJlMzY3ZmEifQ=="/>
  </w:docVars>
  <w:rsids>
    <w:rsidRoot w:val="4316752B"/>
    <w:rsid w:val="001408A3"/>
    <w:rsid w:val="001E1AFB"/>
    <w:rsid w:val="002C5CC3"/>
    <w:rsid w:val="00406B54"/>
    <w:rsid w:val="00602E50"/>
    <w:rsid w:val="006117D5"/>
    <w:rsid w:val="00681BC9"/>
    <w:rsid w:val="006856DA"/>
    <w:rsid w:val="00B96822"/>
    <w:rsid w:val="00BF281E"/>
    <w:rsid w:val="00CB4CDE"/>
    <w:rsid w:val="00CE7FC4"/>
    <w:rsid w:val="00D12FDD"/>
    <w:rsid w:val="00DC6ADF"/>
    <w:rsid w:val="00DC742B"/>
    <w:rsid w:val="00E41193"/>
    <w:rsid w:val="00FC2094"/>
    <w:rsid w:val="00FE2755"/>
    <w:rsid w:val="01FF282F"/>
    <w:rsid w:val="027D4E00"/>
    <w:rsid w:val="03571CEC"/>
    <w:rsid w:val="0ABF2570"/>
    <w:rsid w:val="1393507A"/>
    <w:rsid w:val="16944E71"/>
    <w:rsid w:val="18D33506"/>
    <w:rsid w:val="1B451682"/>
    <w:rsid w:val="20714905"/>
    <w:rsid w:val="231948D4"/>
    <w:rsid w:val="285C0112"/>
    <w:rsid w:val="2B2C33CC"/>
    <w:rsid w:val="2CB07EB1"/>
    <w:rsid w:val="4316752B"/>
    <w:rsid w:val="48B80A90"/>
    <w:rsid w:val="58D63FBD"/>
    <w:rsid w:val="5A060A0A"/>
    <w:rsid w:val="5BE01327"/>
    <w:rsid w:val="5CF43619"/>
    <w:rsid w:val="5EE1310A"/>
    <w:rsid w:val="617876B6"/>
    <w:rsid w:val="701163F2"/>
    <w:rsid w:val="7439377A"/>
    <w:rsid w:val="750C1147"/>
    <w:rsid w:val="7A353555"/>
    <w:rsid w:val="7AC61FD3"/>
    <w:rsid w:val="7BFE381F"/>
    <w:rsid w:val="7D417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7"/>
    <w:autoRedefine/>
    <w:qFormat/>
    <w:uiPriority w:val="0"/>
    <w:rPr>
      <w:sz w:val="18"/>
      <w:szCs w:val="18"/>
    </w:r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styleId="4">
    <w:name w:val="Body Text 2"/>
    <w:basedOn w:val="1"/>
    <w:autoRedefine/>
    <w:qFormat/>
    <w:uiPriority w:val="0"/>
    <w:pPr>
      <w:spacing w:line="600" w:lineRule="exact"/>
    </w:pPr>
    <w:rPr>
      <w:sz w:val="24"/>
      <w:szCs w:val="20"/>
    </w:rPr>
  </w:style>
  <w:style w:type="character" w:customStyle="1" w:styleId="7">
    <w:name w:val="批注框文本 字符"/>
    <w:basedOn w:val="6"/>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814</Words>
  <Characters>4644</Characters>
  <Lines>38</Lines>
  <Paragraphs>10</Paragraphs>
  <TotalTime>1</TotalTime>
  <ScaleCrop>false</ScaleCrop>
  <LinksUpToDate>false</LinksUpToDate>
  <CharactersWithSpaces>5448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2023-08-16T10:18:00Z</dcterms:created>
  <dc:creator>若有心</dc:creator>
  <cp:lastModifiedBy>山水情</cp:lastModifiedBy>
  <cp:lastPrinted>2023-11-15T04:18:00Z</cp:lastPrinted>
  <dcterms:modified xsi:type="dcterms:W3CDTF">2024-01-22T10:18:34Z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78B5C8BA82FD4AEAB588A34C71CDF0A8_13</vt:lpwstr>
  </property>
</Properties>
</file>