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疏勒县</w:t>
      </w:r>
      <w:r>
        <w:rPr>
          <w:rFonts w:hint="default" w:ascii="Times New Roman" w:hAnsi="Times New Roman" w:eastAsia="方正小标宋简体" w:cs="Times New Roman"/>
          <w:sz w:val="44"/>
          <w:szCs w:val="44"/>
        </w:rPr>
        <w:t>202</w:t>
      </w:r>
      <w:r>
        <w:rPr>
          <w:rFonts w:hint="default" w:ascii="Times New Roman" w:hAnsi="Times New Roman" w:eastAsia="方正小标宋简体" w:cs="Times New Roman"/>
          <w:sz w:val="44"/>
          <w:szCs w:val="44"/>
          <w:lang w:val="en-US" w:eastAsia="zh-CN"/>
        </w:rPr>
        <w:t>4</w:t>
      </w:r>
      <w:r>
        <w:rPr>
          <w:rFonts w:hint="eastAsia" w:ascii="方正小标宋简体" w:hAnsi="方正小标宋简体" w:eastAsia="方正小标宋简体" w:cs="方正小标宋简体"/>
          <w:sz w:val="44"/>
          <w:szCs w:val="44"/>
        </w:rPr>
        <w:t>年国民经济和社会发展</w:t>
      </w:r>
    </w:p>
    <w:p>
      <w:pPr>
        <w:spacing w:line="7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统计公报</w:t>
      </w:r>
    </w:p>
    <w:p>
      <w:pPr>
        <w:pStyle w:val="2"/>
        <w:spacing w:before="0" w:after="0" w:line="700" w:lineRule="exact"/>
        <w:jc w:val="center"/>
        <w:rPr>
          <w:rFonts w:ascii="方正黑体简体" w:hAnsi="方正黑体简体" w:eastAsia="方正黑体简体" w:cs="方正黑体简体"/>
          <w:sz w:val="44"/>
          <w:szCs w:val="44"/>
        </w:rPr>
      </w:pPr>
    </w:p>
    <w:p>
      <w:pPr>
        <w:keepNext w:val="0"/>
        <w:keepLines w:val="0"/>
        <w:pageBreakBefore w:val="0"/>
        <w:widowControl w:val="0"/>
        <w:kinsoku/>
        <w:wordWrap/>
        <w:overflowPunct/>
        <w:topLinePunct w:val="0"/>
        <w:autoSpaceDE/>
        <w:autoSpaceDN/>
        <w:bidi w:val="0"/>
        <w:adjustRightInd/>
        <w:snapToGrid/>
        <w:spacing w:after="0" w:line="620" w:lineRule="exact"/>
        <w:ind w:firstLine="640" w:firstLineChars="200"/>
        <w:jc w:val="both"/>
        <w:textAlignment w:val="auto"/>
        <w:rPr>
          <w:rFonts w:hint="default" w:ascii="Times New Roman" w:hAnsi="Times New Roman" w:eastAsia="方正仿宋简体" w:cs="Times New Roman"/>
          <w:sz w:val="32"/>
          <w:szCs w:val="40"/>
          <w:lang w:val="en-US" w:eastAsia="zh-CN"/>
        </w:rPr>
      </w:pPr>
      <w:r>
        <w:rPr>
          <w:rFonts w:hint="default" w:ascii="Times New Roman" w:hAnsi="Times New Roman" w:eastAsia="方正仿宋简体" w:cs="Times New Roman"/>
          <w:sz w:val="32"/>
          <w:szCs w:val="40"/>
          <w:lang w:val="en-US" w:eastAsia="zh-CN"/>
        </w:rPr>
        <w:t>2024年，</w:t>
      </w:r>
      <w:r>
        <w:rPr>
          <w:rFonts w:hint="eastAsia" w:eastAsia="方正仿宋简体" w:cs="Times New Roman"/>
          <w:sz w:val="32"/>
          <w:szCs w:val="40"/>
          <w:lang w:val="en-US" w:eastAsia="zh-CN"/>
        </w:rPr>
        <w:t>疏勒</w:t>
      </w:r>
      <w:r>
        <w:rPr>
          <w:rFonts w:hint="default" w:ascii="Times New Roman" w:hAnsi="Times New Roman" w:eastAsia="方正仿宋简体" w:cs="Times New Roman"/>
          <w:sz w:val="32"/>
          <w:szCs w:val="40"/>
          <w:lang w:val="en-US" w:eastAsia="zh-CN"/>
        </w:rPr>
        <w:t>县坚决贯彻落实自治区党委、政府的决策部署和地委、行署的工作要求，以习近平新时代中国特色社会主义思想为指导，坚持稳中求进工作总基调，锚定全年发展目标，干中求进、难中求进，农业、工业总体稳定，市场消费保持增长，投资结构持续优化，全县经济承压增长，运行总体平稳。</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eastAsia="方正黑体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eastAsia="方正黑体简体"/>
          <w:sz w:val="32"/>
          <w:szCs w:val="32"/>
        </w:rPr>
      </w:pPr>
      <w:r>
        <w:rPr>
          <w:rFonts w:hint="eastAsia" w:eastAsia="方正黑体简体"/>
          <w:sz w:val="32"/>
          <w:szCs w:val="32"/>
        </w:rPr>
        <w:t>一、综 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color w:val="0070C0"/>
          <w:sz w:val="32"/>
          <w:szCs w:val="32"/>
        </w:rPr>
      </w:pPr>
      <w:r>
        <w:rPr>
          <w:rFonts w:hint="default" w:ascii="Times New Roman" w:hAnsi="Times New Roman" w:eastAsia="方正仿宋简体" w:cs="Times New Roman"/>
          <w:sz w:val="32"/>
          <w:szCs w:val="32"/>
        </w:rPr>
        <w:t>根据地区统计局统一核算，202</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年，</w:t>
      </w:r>
      <w:r>
        <w:rPr>
          <w:rFonts w:hint="default" w:ascii="Times New Roman" w:hAnsi="Times New Roman" w:eastAsia="方正仿宋简体" w:cs="Times New Roman"/>
          <w:sz w:val="32"/>
          <w:szCs w:val="32"/>
          <w:lang w:eastAsia="zh-CN"/>
        </w:rPr>
        <w:t>疏勒</w:t>
      </w:r>
      <w:r>
        <w:rPr>
          <w:rFonts w:hint="default" w:ascii="Times New Roman" w:hAnsi="Times New Roman" w:eastAsia="方正仿宋简体" w:cs="Times New Roman"/>
          <w:sz w:val="32"/>
          <w:szCs w:val="32"/>
        </w:rPr>
        <w:t>县实现地区生产总值（GDP）</w:t>
      </w:r>
      <w:r>
        <w:rPr>
          <w:rFonts w:hint="default" w:ascii="Times New Roman" w:hAnsi="Times New Roman" w:eastAsia="方正仿宋简体" w:cs="Times New Roman"/>
          <w:sz w:val="32"/>
          <w:szCs w:val="32"/>
          <w:lang w:val="en-US" w:eastAsia="zh-CN"/>
        </w:rPr>
        <w:t>108.68</w:t>
      </w:r>
      <w:r>
        <w:rPr>
          <w:rFonts w:hint="default" w:ascii="Times New Roman" w:hAnsi="Times New Roman" w:eastAsia="方正仿宋简体" w:cs="Times New Roman"/>
          <w:sz w:val="32"/>
          <w:szCs w:val="32"/>
        </w:rPr>
        <w:t>亿元，比上年增长</w:t>
      </w:r>
      <w:r>
        <w:rPr>
          <w:rFonts w:hint="default" w:ascii="Times New Roman" w:hAnsi="Times New Roman" w:eastAsia="方正仿宋简体" w:cs="Times New Roman"/>
          <w:sz w:val="32"/>
          <w:szCs w:val="32"/>
          <w:lang w:val="en-US" w:eastAsia="zh-CN"/>
        </w:rPr>
        <w:t>7</w:t>
      </w:r>
      <w:r>
        <w:rPr>
          <w:rFonts w:hint="default" w:ascii="Times New Roman" w:hAnsi="Times New Roman" w:eastAsia="方正仿宋简体" w:cs="Times New Roman"/>
          <w:sz w:val="32"/>
          <w:szCs w:val="32"/>
        </w:rPr>
        <w:t>%。其中：第一产业增加值</w:t>
      </w:r>
      <w:r>
        <w:rPr>
          <w:rFonts w:hint="default" w:ascii="Times New Roman" w:hAnsi="Times New Roman" w:eastAsia="方正仿宋简体" w:cs="Times New Roman"/>
          <w:sz w:val="32"/>
          <w:szCs w:val="32"/>
          <w:lang w:val="en-US" w:eastAsia="zh-CN"/>
        </w:rPr>
        <w:t>41.58</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比上年</w:t>
      </w:r>
      <w:r>
        <w:rPr>
          <w:rFonts w:hint="default" w:ascii="Times New Roman" w:hAnsi="Times New Roman" w:eastAsia="方正仿宋简体" w:cs="Times New Roman"/>
          <w:sz w:val="32"/>
          <w:szCs w:val="32"/>
        </w:rPr>
        <w:t>增长</w:t>
      </w:r>
      <w:r>
        <w:rPr>
          <w:rFonts w:hint="default" w:ascii="Times New Roman" w:hAnsi="Times New Roman" w:eastAsia="方正仿宋简体" w:cs="Times New Roman"/>
          <w:sz w:val="32"/>
          <w:szCs w:val="32"/>
          <w:lang w:val="en-US" w:eastAsia="zh-CN"/>
        </w:rPr>
        <w:t>4.8</w:t>
      </w:r>
      <w:r>
        <w:rPr>
          <w:rFonts w:hint="default" w:ascii="Times New Roman" w:hAnsi="Times New Roman" w:eastAsia="方正仿宋简体" w:cs="Times New Roman"/>
          <w:sz w:val="32"/>
          <w:szCs w:val="32"/>
        </w:rPr>
        <w:t>%；第二产业增加值</w:t>
      </w:r>
      <w:r>
        <w:rPr>
          <w:rFonts w:hint="default" w:ascii="Times New Roman" w:hAnsi="Times New Roman" w:eastAsia="方正仿宋简体" w:cs="Times New Roman"/>
          <w:sz w:val="32"/>
          <w:szCs w:val="32"/>
          <w:lang w:val="en-US" w:eastAsia="zh-CN"/>
        </w:rPr>
        <w:t>19.71</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比上年</w:t>
      </w:r>
      <w:r>
        <w:rPr>
          <w:rFonts w:hint="default" w:ascii="Times New Roman" w:hAnsi="Times New Roman" w:eastAsia="方正仿宋简体" w:cs="Times New Roman"/>
          <w:sz w:val="32"/>
          <w:szCs w:val="32"/>
        </w:rPr>
        <w:t>增长</w:t>
      </w:r>
      <w:r>
        <w:rPr>
          <w:rFonts w:hint="default" w:ascii="Times New Roman" w:hAnsi="Times New Roman" w:eastAsia="方正仿宋简体" w:cs="Times New Roman"/>
          <w:sz w:val="32"/>
          <w:szCs w:val="32"/>
          <w:lang w:val="en-US" w:eastAsia="zh-CN"/>
        </w:rPr>
        <w:t>11</w:t>
      </w:r>
      <w:r>
        <w:rPr>
          <w:rFonts w:hint="default" w:ascii="Times New Roman" w:hAnsi="Times New Roman" w:eastAsia="方正仿宋简体" w:cs="Times New Roman"/>
          <w:sz w:val="32"/>
          <w:szCs w:val="32"/>
        </w:rPr>
        <w:t>.4%；第三产业增加值4</w:t>
      </w:r>
      <w:r>
        <w:rPr>
          <w:rFonts w:hint="default" w:ascii="Times New Roman" w:hAnsi="Times New Roman" w:eastAsia="方正仿宋简体" w:cs="Times New Roman"/>
          <w:sz w:val="32"/>
          <w:szCs w:val="32"/>
          <w:lang w:val="en-US" w:eastAsia="zh-CN"/>
        </w:rPr>
        <w:t>7.39</w:t>
      </w:r>
      <w:r>
        <w:rPr>
          <w:rFonts w:hint="default" w:ascii="Times New Roman" w:hAnsi="Times New Roman" w:eastAsia="方正仿宋简体" w:cs="Times New Roman"/>
          <w:sz w:val="32"/>
          <w:szCs w:val="32"/>
        </w:rPr>
        <w:t>亿元，</w:t>
      </w:r>
      <w:r>
        <w:rPr>
          <w:rFonts w:hint="default" w:ascii="Times New Roman" w:hAnsi="Times New Roman" w:eastAsia="方正仿宋简体" w:cs="Times New Roman"/>
          <w:sz w:val="32"/>
          <w:szCs w:val="32"/>
          <w:lang w:eastAsia="zh-CN"/>
        </w:rPr>
        <w:t>比上年</w:t>
      </w:r>
      <w:r>
        <w:rPr>
          <w:rFonts w:hint="default" w:ascii="Times New Roman" w:hAnsi="Times New Roman" w:eastAsia="方正仿宋简体" w:cs="Times New Roman"/>
          <w:sz w:val="32"/>
          <w:szCs w:val="32"/>
        </w:rPr>
        <w:t>增长</w:t>
      </w:r>
      <w:r>
        <w:rPr>
          <w:rFonts w:hint="default" w:ascii="Times New Roman" w:hAnsi="Times New Roman" w:eastAsia="方正仿宋简体" w:cs="Times New Roman"/>
          <w:sz w:val="32"/>
          <w:szCs w:val="32"/>
          <w:lang w:val="en-US" w:eastAsia="zh-CN"/>
        </w:rPr>
        <w:t>7.2</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color w:val="auto"/>
          <w:sz w:val="32"/>
          <w:szCs w:val="32"/>
        </w:rPr>
        <w:t>第一产业增加值占地区生产总值的比重为</w:t>
      </w:r>
      <w:r>
        <w:rPr>
          <w:rFonts w:hint="default" w:ascii="Times New Roman" w:hAnsi="Times New Roman" w:eastAsia="方正仿宋简体" w:cs="Times New Roman"/>
          <w:color w:val="auto"/>
          <w:sz w:val="32"/>
          <w:szCs w:val="32"/>
          <w:lang w:val="en-US" w:eastAsia="zh-CN"/>
        </w:rPr>
        <w:t>38.3</w:t>
      </w:r>
      <w:r>
        <w:rPr>
          <w:rFonts w:hint="default" w:ascii="Times New Roman" w:hAnsi="Times New Roman" w:eastAsia="方正仿宋简体" w:cs="Times New Roman"/>
          <w:color w:val="auto"/>
          <w:sz w:val="32"/>
          <w:szCs w:val="32"/>
        </w:rPr>
        <w:t>%，第二产业增加值占地区生产总值的比重为</w:t>
      </w:r>
      <w:r>
        <w:rPr>
          <w:rFonts w:hint="default" w:ascii="Times New Roman" w:hAnsi="Times New Roman" w:eastAsia="方正仿宋简体" w:cs="Times New Roman"/>
          <w:color w:val="auto"/>
          <w:sz w:val="32"/>
          <w:szCs w:val="32"/>
          <w:lang w:val="en-US" w:eastAsia="zh-CN"/>
        </w:rPr>
        <w:t>18.1</w:t>
      </w:r>
      <w:r>
        <w:rPr>
          <w:rFonts w:hint="default" w:ascii="Times New Roman" w:hAnsi="Times New Roman" w:eastAsia="方正仿宋简体" w:cs="Times New Roman"/>
          <w:color w:val="auto"/>
          <w:sz w:val="32"/>
          <w:szCs w:val="32"/>
        </w:rPr>
        <w:t>%，第三产业增加值占地区生产总值的比重为</w:t>
      </w:r>
      <w:r>
        <w:rPr>
          <w:rFonts w:hint="default" w:ascii="Times New Roman" w:hAnsi="Times New Roman" w:eastAsia="方正仿宋简体" w:cs="Times New Roman"/>
          <w:color w:val="auto"/>
          <w:sz w:val="32"/>
          <w:szCs w:val="32"/>
          <w:lang w:val="en-US" w:eastAsia="zh-CN"/>
        </w:rPr>
        <w:t>43.6</w:t>
      </w:r>
      <w:r>
        <w:rPr>
          <w:rFonts w:hint="default" w:ascii="Times New Roman" w:hAnsi="Times New Roman" w:eastAsia="方正仿宋简体" w:cs="Times New Roman"/>
          <w:color w:val="auto"/>
          <w:sz w:val="32"/>
          <w:szCs w:val="32"/>
        </w:rPr>
        <w:t>%。</w:t>
      </w: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420" w:firstLineChars="200"/>
        <w:rPr>
          <w:rFonts w:eastAsia="方正仿宋简体"/>
          <w:sz w:val="32"/>
          <w:szCs w:val="32"/>
        </w:rPr>
      </w:pPr>
      <w:r>
        <w:drawing>
          <wp:anchor distT="0" distB="0" distL="114300" distR="114300" simplePos="0" relativeHeight="251659264" behindDoc="0" locked="0" layoutInCell="1" allowOverlap="1">
            <wp:simplePos x="0" y="0"/>
            <wp:positionH relativeFrom="column">
              <wp:posOffset>271145</wp:posOffset>
            </wp:positionH>
            <wp:positionV relativeFrom="paragraph">
              <wp:posOffset>189230</wp:posOffset>
            </wp:positionV>
            <wp:extent cx="5072380" cy="3041015"/>
            <wp:effectExtent l="4445" t="4445" r="9525" b="21590"/>
            <wp:wrapNone/>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420" w:firstLineChars="200"/>
        <w:rPr>
          <w:rFonts w:eastAsia="方正仿宋简体"/>
          <w:sz w:val="32"/>
          <w:szCs w:val="32"/>
        </w:rPr>
      </w:pPr>
      <w:r>
        <w:drawing>
          <wp:anchor distT="0" distB="0" distL="114300" distR="114300" simplePos="0" relativeHeight="251660288" behindDoc="0" locked="0" layoutInCell="1" allowOverlap="1">
            <wp:simplePos x="0" y="0"/>
            <wp:positionH relativeFrom="column">
              <wp:posOffset>244475</wp:posOffset>
            </wp:positionH>
            <wp:positionV relativeFrom="paragraph">
              <wp:posOffset>232410</wp:posOffset>
            </wp:positionV>
            <wp:extent cx="5128895" cy="3349625"/>
            <wp:effectExtent l="4445" t="4445" r="10160" b="17780"/>
            <wp:wrapNone/>
            <wp:docPr id="1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rPr>
          <w:rFonts w:hint="eastAsia" w:eastAsia="方正仿宋简体"/>
          <w:sz w:val="32"/>
          <w:szCs w:val="32"/>
        </w:rPr>
      </w:pPr>
      <w:r>
        <w:rPr>
          <w:rFonts w:hint="eastAsia" w:eastAsia="方正仿宋简体"/>
          <w:sz w:val="32"/>
          <w:szCs w:val="32"/>
        </w:rPr>
        <w:t xml:space="preserve">  </w:t>
      </w:r>
    </w:p>
    <w:p>
      <w:pPr>
        <w:pStyle w:val="2"/>
        <w:rPr>
          <w:rFonts w:hint="eastAsia" w:eastAsia="方正仿宋简体"/>
          <w:sz w:val="32"/>
          <w:szCs w:val="32"/>
        </w:rPr>
      </w:pPr>
    </w:p>
    <w:p>
      <w:pPr>
        <w:rPr>
          <w:rFonts w:hint="eastAsia" w:eastAsia="方正仿宋简体"/>
          <w:sz w:val="32"/>
          <w:szCs w:val="32"/>
        </w:rPr>
      </w:pPr>
    </w:p>
    <w:p>
      <w:pPr>
        <w:spacing w:line="620" w:lineRule="exact"/>
        <w:ind w:firstLine="640" w:firstLineChars="200"/>
        <w:rPr>
          <w:rFonts w:hint="eastAsia"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hint="eastAsia" w:eastAsia="方正仿宋简体"/>
          <w:sz w:val="32"/>
          <w:szCs w:val="32"/>
        </w:rPr>
        <w:t>全年全县实现</w:t>
      </w:r>
      <w:r>
        <w:rPr>
          <w:rFonts w:eastAsia="方正仿宋简体"/>
          <w:sz w:val="32"/>
          <w:szCs w:val="32"/>
        </w:rPr>
        <w:t>城镇新增就业</w:t>
      </w:r>
      <w:r>
        <w:rPr>
          <w:rFonts w:hint="eastAsia" w:eastAsia="方正仿宋简体"/>
          <w:sz w:val="32"/>
          <w:szCs w:val="32"/>
          <w:lang w:val="en-US" w:eastAsia="zh-CN"/>
        </w:rPr>
        <w:t>6914</w:t>
      </w:r>
      <w:r>
        <w:rPr>
          <w:rFonts w:eastAsia="方正仿宋简体"/>
          <w:sz w:val="32"/>
          <w:szCs w:val="32"/>
        </w:rPr>
        <w:t>人，</w:t>
      </w:r>
      <w:r>
        <w:rPr>
          <w:rFonts w:eastAsia="方正仿宋简体"/>
          <w:sz w:val="32"/>
          <w:szCs w:val="32"/>
          <w:lang w:val="zh-CN"/>
        </w:rPr>
        <w:t>农村劳动力转移就业</w:t>
      </w:r>
      <w:r>
        <w:rPr>
          <w:rFonts w:hint="eastAsia" w:eastAsia="方正仿宋简体"/>
          <w:sz w:val="32"/>
          <w:szCs w:val="32"/>
          <w:lang w:val="en-US" w:eastAsia="zh-CN"/>
        </w:rPr>
        <w:t>9.24</w:t>
      </w:r>
      <w:r>
        <w:rPr>
          <w:rFonts w:eastAsia="方正仿宋简体"/>
          <w:sz w:val="32"/>
          <w:szCs w:val="32"/>
        </w:rPr>
        <w:t>万人次。</w:t>
      </w:r>
    </w:p>
    <w:p>
      <w:pPr>
        <w:pStyle w:val="2"/>
        <w:keepNext/>
        <w:keepLines/>
        <w:pageBreakBefore w:val="0"/>
        <w:widowControl w:val="0"/>
        <w:kinsoku/>
        <w:wordWrap/>
        <w:overflowPunct/>
        <w:topLinePunct w:val="0"/>
        <w:autoSpaceDE/>
        <w:autoSpaceDN/>
        <w:bidi w:val="0"/>
        <w:adjustRightInd/>
        <w:snapToGrid/>
        <w:spacing w:before="0" w:after="0" w:line="620" w:lineRule="exact"/>
        <w:jc w:val="center"/>
        <w:textAlignment w:val="auto"/>
        <w:rPr>
          <w:rFonts w:ascii="方正黑体简体" w:hAnsi="方正黑体简体" w:eastAsia="方正黑体简体" w:cs="方正黑体简体"/>
          <w:b w:val="0"/>
          <w:bCs/>
        </w:rPr>
      </w:pPr>
      <w:r>
        <w:rPr>
          <w:rFonts w:hint="eastAsia" w:ascii="方正黑体简体" w:hAnsi="方正黑体简体" w:eastAsia="方正黑体简体" w:cs="方正黑体简体"/>
          <w:b w:val="0"/>
          <w:bCs/>
          <w:szCs w:val="32"/>
        </w:rPr>
        <w:t>二、农 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eastAsia="方正仿宋简体"/>
          <w:sz w:val="32"/>
          <w:szCs w:val="32"/>
          <w:lang w:eastAsia="zh-CN"/>
        </w:rPr>
      </w:pPr>
      <w:r>
        <w:rPr>
          <w:rFonts w:eastAsia="方正仿宋简体"/>
          <w:sz w:val="32"/>
          <w:szCs w:val="32"/>
        </w:rPr>
        <w:t>粮食播种面积</w:t>
      </w:r>
      <w:r>
        <w:rPr>
          <w:rFonts w:hint="eastAsia" w:eastAsia="方正仿宋简体"/>
          <w:sz w:val="32"/>
          <w:szCs w:val="32"/>
          <w:lang w:val="en-US" w:eastAsia="zh-CN"/>
        </w:rPr>
        <w:t>90.28</w:t>
      </w:r>
      <w:r>
        <w:rPr>
          <w:rFonts w:eastAsia="方正仿宋简体"/>
          <w:sz w:val="32"/>
          <w:szCs w:val="32"/>
        </w:rPr>
        <w:t>万亩，同比增长</w:t>
      </w:r>
      <w:r>
        <w:rPr>
          <w:rFonts w:hint="eastAsia" w:eastAsia="方正仿宋简体"/>
          <w:sz w:val="32"/>
          <w:szCs w:val="32"/>
          <w:lang w:val="en-US" w:eastAsia="zh-CN"/>
        </w:rPr>
        <w:t>8</w:t>
      </w:r>
      <w:r>
        <w:rPr>
          <w:rFonts w:eastAsia="方正仿宋简体"/>
          <w:sz w:val="32"/>
          <w:szCs w:val="32"/>
        </w:rPr>
        <w:t>%，其中：小麦播种面积</w:t>
      </w:r>
      <w:r>
        <w:rPr>
          <w:rFonts w:hint="eastAsia" w:eastAsia="方正仿宋简体"/>
          <w:sz w:val="32"/>
          <w:szCs w:val="32"/>
          <w:lang w:val="en-US" w:eastAsia="zh-CN"/>
        </w:rPr>
        <w:t>47</w:t>
      </w:r>
      <w:r>
        <w:rPr>
          <w:rFonts w:eastAsia="方正仿宋简体"/>
          <w:sz w:val="32"/>
          <w:szCs w:val="32"/>
        </w:rPr>
        <w:t>万亩，同比增长</w:t>
      </w:r>
      <w:r>
        <w:rPr>
          <w:rFonts w:hint="eastAsia" w:eastAsia="方正仿宋简体"/>
          <w:sz w:val="32"/>
          <w:szCs w:val="32"/>
          <w:lang w:val="en-US" w:eastAsia="zh-CN"/>
        </w:rPr>
        <w:t>7.4</w:t>
      </w:r>
      <w:r>
        <w:rPr>
          <w:rFonts w:eastAsia="方正仿宋简体"/>
          <w:sz w:val="32"/>
          <w:szCs w:val="32"/>
        </w:rPr>
        <w:t>%</w:t>
      </w:r>
      <w:r>
        <w:rPr>
          <w:rFonts w:hint="eastAsia" w:eastAsia="方正仿宋简体"/>
          <w:sz w:val="32"/>
          <w:szCs w:val="32"/>
          <w:lang w:eastAsia="zh-CN"/>
        </w:rPr>
        <w:t>；</w:t>
      </w:r>
      <w:r>
        <w:rPr>
          <w:rFonts w:eastAsia="方正仿宋简体"/>
          <w:sz w:val="32"/>
          <w:szCs w:val="32"/>
        </w:rPr>
        <w:t>玉米播种面积</w:t>
      </w:r>
      <w:r>
        <w:rPr>
          <w:rFonts w:hint="eastAsia" w:eastAsia="方正仿宋简体"/>
          <w:sz w:val="32"/>
          <w:szCs w:val="32"/>
          <w:lang w:val="en-US" w:eastAsia="zh-CN"/>
        </w:rPr>
        <w:t>40</w:t>
      </w:r>
      <w:r>
        <w:rPr>
          <w:rFonts w:eastAsia="方正仿宋简体"/>
          <w:sz w:val="32"/>
          <w:szCs w:val="32"/>
        </w:rPr>
        <w:t>万亩，同比增长</w:t>
      </w:r>
      <w:r>
        <w:rPr>
          <w:rFonts w:hint="eastAsia" w:eastAsia="方正仿宋简体"/>
          <w:sz w:val="32"/>
          <w:szCs w:val="32"/>
          <w:lang w:val="en-US" w:eastAsia="zh-CN"/>
        </w:rPr>
        <w:t>10</w:t>
      </w:r>
      <w:r>
        <w:rPr>
          <w:rFonts w:eastAsia="方正仿宋简体"/>
          <w:sz w:val="32"/>
          <w:szCs w:val="32"/>
        </w:rPr>
        <w:t>%</w:t>
      </w:r>
      <w:r>
        <w:rPr>
          <w:rFonts w:hint="eastAsia" w:eastAsia="方正仿宋简体"/>
          <w:sz w:val="32"/>
          <w:szCs w:val="32"/>
        </w:rPr>
        <w:t>。</w:t>
      </w:r>
      <w:r>
        <w:rPr>
          <w:rFonts w:eastAsia="方正仿宋简体"/>
          <w:sz w:val="32"/>
          <w:szCs w:val="32"/>
        </w:rPr>
        <w:t>经济作物播种面积</w:t>
      </w:r>
      <w:r>
        <w:rPr>
          <w:rFonts w:hint="eastAsia" w:eastAsia="方正仿宋简体"/>
          <w:sz w:val="32"/>
          <w:szCs w:val="32"/>
          <w:lang w:val="en-US" w:eastAsia="zh-CN"/>
        </w:rPr>
        <w:t>105.8</w:t>
      </w:r>
      <w:r>
        <w:rPr>
          <w:rFonts w:eastAsia="方正仿宋简体"/>
          <w:sz w:val="32"/>
          <w:szCs w:val="32"/>
        </w:rPr>
        <w:t>万亩</w:t>
      </w:r>
      <w:r>
        <w:rPr>
          <w:rFonts w:hint="eastAsia" w:eastAsia="方正仿宋简体"/>
          <w:sz w:val="32"/>
          <w:szCs w:val="32"/>
        </w:rPr>
        <w:t>，</w:t>
      </w:r>
      <w:r>
        <w:rPr>
          <w:rFonts w:eastAsia="方正仿宋简体"/>
          <w:sz w:val="32"/>
          <w:szCs w:val="32"/>
        </w:rPr>
        <w:t>同比</w:t>
      </w:r>
      <w:r>
        <w:rPr>
          <w:rFonts w:hint="eastAsia" w:eastAsia="方正仿宋简体"/>
          <w:sz w:val="32"/>
          <w:szCs w:val="32"/>
          <w:lang w:eastAsia="zh-CN"/>
        </w:rPr>
        <w:t>增长</w:t>
      </w:r>
      <w:r>
        <w:rPr>
          <w:rFonts w:hint="eastAsia" w:eastAsia="方正仿宋简体"/>
          <w:sz w:val="32"/>
          <w:szCs w:val="32"/>
          <w:lang w:val="en-US" w:eastAsia="zh-CN"/>
        </w:rPr>
        <w:t>22.1</w:t>
      </w:r>
      <w:r>
        <w:rPr>
          <w:rFonts w:eastAsia="方正仿宋简体"/>
          <w:sz w:val="32"/>
          <w:szCs w:val="32"/>
        </w:rPr>
        <w:t>%</w:t>
      </w:r>
      <w:r>
        <w:rPr>
          <w:rFonts w:hint="eastAsia" w:eastAsia="方正仿宋简体"/>
          <w:sz w:val="32"/>
          <w:szCs w:val="32"/>
        </w:rPr>
        <w:t>，</w:t>
      </w:r>
      <w:r>
        <w:rPr>
          <w:rFonts w:eastAsia="方正仿宋简体"/>
          <w:sz w:val="32"/>
          <w:szCs w:val="32"/>
        </w:rPr>
        <w:t>其中：棉花播种面积</w:t>
      </w:r>
      <w:r>
        <w:rPr>
          <w:rFonts w:hint="eastAsia" w:eastAsia="方正仿宋简体"/>
          <w:sz w:val="32"/>
          <w:szCs w:val="32"/>
          <w:lang w:val="en-US" w:eastAsia="zh-CN"/>
        </w:rPr>
        <w:t>44.57</w:t>
      </w:r>
      <w:r>
        <w:rPr>
          <w:rFonts w:eastAsia="方正仿宋简体"/>
          <w:sz w:val="32"/>
          <w:szCs w:val="32"/>
        </w:rPr>
        <w:t>万亩，同比</w:t>
      </w:r>
      <w:r>
        <w:rPr>
          <w:rFonts w:hint="eastAsia" w:eastAsia="方正仿宋简体"/>
          <w:sz w:val="32"/>
          <w:szCs w:val="32"/>
          <w:lang w:eastAsia="zh-CN"/>
        </w:rPr>
        <w:t>增长</w:t>
      </w:r>
      <w:r>
        <w:rPr>
          <w:rFonts w:hint="eastAsia" w:eastAsia="方正仿宋简体"/>
          <w:sz w:val="32"/>
          <w:szCs w:val="32"/>
          <w:lang w:val="en-US" w:eastAsia="zh-CN"/>
        </w:rPr>
        <w:t>9.8</w:t>
      </w:r>
      <w:r>
        <w:rPr>
          <w:rFonts w:eastAsia="方正仿宋简体"/>
          <w:sz w:val="32"/>
          <w:szCs w:val="32"/>
        </w:rPr>
        <w:t>%</w:t>
      </w:r>
      <w:r>
        <w:rPr>
          <w:rFonts w:hint="eastAsia" w:eastAsia="方正仿宋简体"/>
          <w:sz w:val="32"/>
          <w:szCs w:val="32"/>
        </w:rPr>
        <w:t>；</w:t>
      </w:r>
      <w:r>
        <w:rPr>
          <w:rFonts w:eastAsia="方正仿宋简体"/>
          <w:sz w:val="32"/>
          <w:szCs w:val="32"/>
        </w:rPr>
        <w:t>油料作物播种面积</w:t>
      </w:r>
      <w:r>
        <w:rPr>
          <w:rFonts w:hint="eastAsia" w:eastAsia="方正仿宋简体"/>
          <w:sz w:val="32"/>
          <w:szCs w:val="32"/>
          <w:lang w:val="en-US" w:eastAsia="zh-CN"/>
        </w:rPr>
        <w:t>1.47</w:t>
      </w:r>
      <w:r>
        <w:rPr>
          <w:rFonts w:eastAsia="方正仿宋简体"/>
          <w:sz w:val="32"/>
          <w:szCs w:val="32"/>
        </w:rPr>
        <w:t>万亩，同比增长</w:t>
      </w:r>
      <w:r>
        <w:rPr>
          <w:rFonts w:hint="eastAsia" w:eastAsia="方正仿宋简体"/>
          <w:sz w:val="32"/>
          <w:szCs w:val="32"/>
          <w:lang w:val="en-US" w:eastAsia="zh-CN"/>
        </w:rPr>
        <w:t>4.5</w:t>
      </w:r>
      <w:r>
        <w:rPr>
          <w:rFonts w:eastAsia="方正仿宋简体"/>
          <w:sz w:val="32"/>
          <w:szCs w:val="32"/>
        </w:rPr>
        <w:t>%</w:t>
      </w:r>
      <w:r>
        <w:rPr>
          <w:rFonts w:hint="eastAsia" w:eastAsia="方正仿宋简体"/>
          <w:color w:val="auto"/>
          <w:sz w:val="32"/>
          <w:szCs w:val="32"/>
        </w:rPr>
        <w:t>。</w:t>
      </w:r>
      <w:r>
        <w:rPr>
          <w:rFonts w:eastAsia="方正仿宋简体"/>
          <w:sz w:val="32"/>
          <w:szCs w:val="32"/>
        </w:rPr>
        <w:t>蔬菜播种面积</w:t>
      </w:r>
      <w:r>
        <w:rPr>
          <w:rFonts w:hint="eastAsia" w:eastAsia="方正仿宋简体"/>
          <w:sz w:val="32"/>
          <w:szCs w:val="32"/>
          <w:lang w:val="en-US" w:eastAsia="zh-CN"/>
        </w:rPr>
        <w:t>28.6</w:t>
      </w:r>
      <w:r>
        <w:rPr>
          <w:rFonts w:hint="eastAsia" w:eastAsia="方正仿宋简体"/>
          <w:sz w:val="32"/>
          <w:szCs w:val="32"/>
        </w:rPr>
        <w:t>万</w:t>
      </w:r>
      <w:r>
        <w:rPr>
          <w:rFonts w:eastAsia="方正仿宋简体"/>
          <w:sz w:val="32"/>
          <w:szCs w:val="32"/>
        </w:rPr>
        <w:t>亩，同比</w:t>
      </w:r>
      <w:r>
        <w:rPr>
          <w:rFonts w:hint="eastAsia" w:eastAsia="方正仿宋简体"/>
          <w:sz w:val="32"/>
          <w:szCs w:val="32"/>
          <w:lang w:eastAsia="zh-CN"/>
        </w:rPr>
        <w:t>下降</w:t>
      </w:r>
      <w:r>
        <w:rPr>
          <w:rFonts w:hint="eastAsia" w:eastAsia="方正仿宋简体"/>
          <w:sz w:val="32"/>
          <w:szCs w:val="32"/>
          <w:lang w:val="en-US" w:eastAsia="zh-CN"/>
        </w:rPr>
        <w:t>4</w:t>
      </w:r>
      <w:r>
        <w:rPr>
          <w:rFonts w:eastAsia="方正仿宋简体"/>
          <w:sz w:val="32"/>
          <w:szCs w:val="32"/>
        </w:rPr>
        <w:t>.8%</w:t>
      </w:r>
      <w:r>
        <w:rPr>
          <w:rFonts w:hint="eastAsia" w:eastAsia="方正仿宋简体"/>
          <w:sz w:val="32"/>
          <w:szCs w:val="32"/>
        </w:rPr>
        <w:t>；</w:t>
      </w:r>
      <w:r>
        <w:rPr>
          <w:rFonts w:eastAsia="方正仿宋简体"/>
          <w:sz w:val="32"/>
          <w:szCs w:val="32"/>
        </w:rPr>
        <w:t>瓜类播种面积</w:t>
      </w:r>
      <w:r>
        <w:rPr>
          <w:rFonts w:hint="eastAsia" w:eastAsia="方正仿宋简体"/>
          <w:sz w:val="32"/>
          <w:szCs w:val="32"/>
          <w:lang w:val="en-US" w:eastAsia="zh-CN"/>
        </w:rPr>
        <w:t>1.74</w:t>
      </w:r>
      <w:r>
        <w:rPr>
          <w:rFonts w:hint="eastAsia" w:eastAsia="方正仿宋简体"/>
          <w:sz w:val="32"/>
          <w:szCs w:val="32"/>
        </w:rPr>
        <w:t>万</w:t>
      </w:r>
      <w:r>
        <w:rPr>
          <w:rFonts w:eastAsia="方正仿宋简体"/>
          <w:sz w:val="32"/>
          <w:szCs w:val="32"/>
        </w:rPr>
        <w:t>亩，</w:t>
      </w:r>
      <w:r>
        <w:rPr>
          <w:rFonts w:hint="eastAsia" w:eastAsia="方正仿宋简体"/>
          <w:sz w:val="32"/>
          <w:szCs w:val="32"/>
        </w:rPr>
        <w:t>同比</w:t>
      </w:r>
      <w:r>
        <w:rPr>
          <w:rFonts w:eastAsia="方正仿宋简体"/>
          <w:sz w:val="32"/>
          <w:szCs w:val="32"/>
        </w:rPr>
        <w:t>下降</w:t>
      </w:r>
      <w:r>
        <w:rPr>
          <w:rFonts w:hint="eastAsia" w:eastAsia="方正仿宋简体"/>
          <w:sz w:val="32"/>
          <w:szCs w:val="32"/>
          <w:lang w:val="en-US" w:eastAsia="zh-CN"/>
        </w:rPr>
        <w:t>50.1</w:t>
      </w:r>
      <w:r>
        <w:rPr>
          <w:rFonts w:eastAsia="方正仿宋简体"/>
          <w:sz w:val="32"/>
          <w:szCs w:val="32"/>
        </w:rPr>
        <w:t>%</w:t>
      </w:r>
      <w:r>
        <w:rPr>
          <w:rFonts w:hint="eastAsia" w:eastAsia="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sz w:val="32"/>
          <w:szCs w:val="32"/>
        </w:rPr>
      </w:pPr>
      <w:r>
        <w:rPr>
          <w:rFonts w:hint="eastAsia" w:eastAsia="方正仿宋简体"/>
          <w:sz w:val="32"/>
          <w:szCs w:val="32"/>
        </w:rPr>
        <w:t>全年粮食</w:t>
      </w:r>
      <w:r>
        <w:rPr>
          <w:rFonts w:eastAsia="方正仿宋简体"/>
          <w:sz w:val="32"/>
          <w:szCs w:val="32"/>
        </w:rPr>
        <w:t>产量</w:t>
      </w:r>
      <w:r>
        <w:rPr>
          <w:rFonts w:hint="eastAsia" w:eastAsia="方正仿宋简体"/>
          <w:sz w:val="32"/>
          <w:szCs w:val="32"/>
          <w:lang w:val="en-US" w:eastAsia="zh-CN"/>
        </w:rPr>
        <w:t>37.36</w:t>
      </w:r>
      <w:r>
        <w:rPr>
          <w:rFonts w:eastAsia="方正仿宋简体"/>
          <w:sz w:val="32"/>
          <w:szCs w:val="32"/>
        </w:rPr>
        <w:t>万吨</w:t>
      </w:r>
      <w:r>
        <w:rPr>
          <w:rFonts w:hint="eastAsia" w:eastAsia="方正仿宋简体"/>
          <w:sz w:val="32"/>
          <w:szCs w:val="32"/>
        </w:rPr>
        <w:t>，</w:t>
      </w:r>
      <w:r>
        <w:rPr>
          <w:rFonts w:eastAsia="方正仿宋简体"/>
          <w:sz w:val="32"/>
          <w:szCs w:val="32"/>
        </w:rPr>
        <w:t>同比增长</w:t>
      </w:r>
      <w:r>
        <w:rPr>
          <w:rFonts w:hint="eastAsia" w:eastAsia="方正仿宋简体"/>
          <w:sz w:val="32"/>
          <w:szCs w:val="32"/>
          <w:lang w:val="en-US" w:eastAsia="zh-CN"/>
        </w:rPr>
        <w:t>6.1</w:t>
      </w:r>
      <w:r>
        <w:rPr>
          <w:rFonts w:eastAsia="方正仿宋简体"/>
          <w:sz w:val="32"/>
          <w:szCs w:val="32"/>
        </w:rPr>
        <w:t>%</w:t>
      </w:r>
      <w:r>
        <w:rPr>
          <w:rFonts w:hint="eastAsia" w:eastAsia="方正仿宋简体"/>
          <w:sz w:val="32"/>
          <w:szCs w:val="32"/>
        </w:rPr>
        <w:t>，其中：小麦</w:t>
      </w:r>
      <w:r>
        <w:rPr>
          <w:rFonts w:eastAsia="方正仿宋简体"/>
          <w:sz w:val="32"/>
          <w:szCs w:val="32"/>
        </w:rPr>
        <w:t>产量</w:t>
      </w:r>
      <w:r>
        <w:rPr>
          <w:rFonts w:hint="eastAsia" w:eastAsia="方正仿宋简体"/>
          <w:sz w:val="32"/>
          <w:szCs w:val="32"/>
          <w:lang w:val="en-US" w:eastAsia="zh-CN"/>
        </w:rPr>
        <w:t>18</w:t>
      </w:r>
      <w:r>
        <w:rPr>
          <w:rFonts w:eastAsia="方正仿宋简体"/>
          <w:sz w:val="32"/>
          <w:szCs w:val="32"/>
        </w:rPr>
        <w:t>万吨，同比增长5.</w:t>
      </w:r>
      <w:r>
        <w:rPr>
          <w:rFonts w:hint="eastAsia" w:eastAsia="方正仿宋简体"/>
          <w:sz w:val="32"/>
          <w:szCs w:val="32"/>
          <w:lang w:val="en-US" w:eastAsia="zh-CN"/>
        </w:rPr>
        <w:t>3</w:t>
      </w:r>
      <w:r>
        <w:rPr>
          <w:rFonts w:eastAsia="方正仿宋简体"/>
          <w:sz w:val="32"/>
          <w:szCs w:val="32"/>
        </w:rPr>
        <w:t>%，</w:t>
      </w:r>
      <w:r>
        <w:rPr>
          <w:rFonts w:hint="eastAsia" w:eastAsia="方正仿宋简体"/>
          <w:sz w:val="32"/>
          <w:szCs w:val="32"/>
        </w:rPr>
        <w:t>玉米</w:t>
      </w:r>
      <w:r>
        <w:rPr>
          <w:rFonts w:eastAsia="方正仿宋简体"/>
          <w:sz w:val="32"/>
          <w:szCs w:val="32"/>
        </w:rPr>
        <w:t>产量</w:t>
      </w:r>
      <w:r>
        <w:rPr>
          <w:rFonts w:hint="eastAsia" w:eastAsia="方正仿宋简体"/>
          <w:sz w:val="32"/>
          <w:szCs w:val="32"/>
          <w:lang w:val="en-US" w:eastAsia="zh-CN"/>
        </w:rPr>
        <w:t>17.6</w:t>
      </w:r>
      <w:r>
        <w:rPr>
          <w:rFonts w:eastAsia="方正仿宋简体"/>
          <w:sz w:val="32"/>
          <w:szCs w:val="32"/>
        </w:rPr>
        <w:t>万吨，同比增长</w:t>
      </w:r>
      <w:r>
        <w:rPr>
          <w:rFonts w:hint="eastAsia" w:eastAsia="方正仿宋简体"/>
          <w:sz w:val="32"/>
          <w:szCs w:val="32"/>
          <w:lang w:val="en-US" w:eastAsia="zh-CN"/>
        </w:rPr>
        <w:t>7.3</w:t>
      </w:r>
      <w:r>
        <w:rPr>
          <w:rFonts w:eastAsia="方正仿宋简体"/>
          <w:sz w:val="32"/>
          <w:szCs w:val="32"/>
        </w:rPr>
        <w:t>%</w:t>
      </w:r>
      <w:r>
        <w:rPr>
          <w:rFonts w:hint="eastAsia" w:eastAsia="方正仿宋简体"/>
          <w:sz w:val="32"/>
          <w:szCs w:val="32"/>
        </w:rPr>
        <w:t>。</w:t>
      </w:r>
      <w:r>
        <w:rPr>
          <w:rFonts w:hint="eastAsia" w:eastAsia="方正仿宋简体"/>
          <w:color w:val="auto"/>
          <w:sz w:val="32"/>
          <w:szCs w:val="32"/>
        </w:rPr>
        <w:t>经济作物中</w:t>
      </w:r>
      <w:r>
        <w:rPr>
          <w:rFonts w:eastAsia="方正仿宋简体"/>
          <w:sz w:val="32"/>
          <w:szCs w:val="32"/>
        </w:rPr>
        <w:t>棉花产量</w:t>
      </w:r>
      <w:r>
        <w:rPr>
          <w:rFonts w:hint="eastAsia" w:eastAsia="方正仿宋简体"/>
          <w:sz w:val="32"/>
          <w:szCs w:val="32"/>
          <w:lang w:val="en-US" w:eastAsia="zh-CN"/>
        </w:rPr>
        <w:t>6.12</w:t>
      </w:r>
      <w:r>
        <w:rPr>
          <w:rFonts w:hint="eastAsia" w:eastAsia="方正仿宋简体"/>
          <w:sz w:val="32"/>
          <w:szCs w:val="32"/>
        </w:rPr>
        <w:t>万</w:t>
      </w:r>
      <w:r>
        <w:rPr>
          <w:rFonts w:eastAsia="方正仿宋简体"/>
          <w:sz w:val="32"/>
          <w:szCs w:val="32"/>
        </w:rPr>
        <w:t>吨，同比增长</w:t>
      </w:r>
      <w:r>
        <w:rPr>
          <w:rFonts w:hint="eastAsia" w:eastAsia="方正仿宋简体"/>
          <w:sz w:val="32"/>
          <w:szCs w:val="32"/>
          <w:lang w:val="en-US" w:eastAsia="zh-CN"/>
        </w:rPr>
        <w:t>20.7</w:t>
      </w:r>
      <w:r>
        <w:rPr>
          <w:rFonts w:eastAsia="方正仿宋简体"/>
          <w:sz w:val="32"/>
          <w:szCs w:val="32"/>
        </w:rPr>
        <w:t>%；油料作物产量</w:t>
      </w:r>
      <w:r>
        <w:rPr>
          <w:rFonts w:hint="eastAsia" w:eastAsia="方正仿宋简体"/>
          <w:sz w:val="32"/>
          <w:szCs w:val="32"/>
          <w:lang w:val="en-US" w:eastAsia="zh-CN"/>
        </w:rPr>
        <w:t>0.27</w:t>
      </w:r>
      <w:r>
        <w:rPr>
          <w:rFonts w:hint="eastAsia" w:eastAsia="方正仿宋简体"/>
          <w:sz w:val="32"/>
          <w:szCs w:val="32"/>
        </w:rPr>
        <w:t>万</w:t>
      </w:r>
      <w:r>
        <w:rPr>
          <w:rFonts w:eastAsia="方正仿宋简体"/>
          <w:sz w:val="32"/>
          <w:szCs w:val="32"/>
        </w:rPr>
        <w:t>吨，同比</w:t>
      </w:r>
      <w:r>
        <w:rPr>
          <w:rFonts w:hint="eastAsia" w:eastAsia="方正仿宋简体"/>
          <w:sz w:val="32"/>
          <w:szCs w:val="32"/>
          <w:lang w:eastAsia="zh-CN"/>
        </w:rPr>
        <w:t>增长</w:t>
      </w:r>
      <w:r>
        <w:rPr>
          <w:rFonts w:hint="eastAsia" w:eastAsia="方正仿宋简体"/>
          <w:sz w:val="32"/>
          <w:szCs w:val="32"/>
          <w:lang w:val="en-US" w:eastAsia="zh-CN"/>
        </w:rPr>
        <w:t>9.6</w:t>
      </w:r>
      <w:r>
        <w:rPr>
          <w:rFonts w:eastAsia="方正仿宋简体"/>
          <w:sz w:val="32"/>
          <w:szCs w:val="32"/>
        </w:rPr>
        <w:t>%</w:t>
      </w:r>
      <w:r>
        <w:rPr>
          <w:rFonts w:hint="eastAsia" w:eastAsia="方正仿宋简体"/>
          <w:sz w:val="32"/>
          <w:szCs w:val="32"/>
        </w:rPr>
        <w:t>。蔬菜</w:t>
      </w:r>
      <w:r>
        <w:rPr>
          <w:rFonts w:eastAsia="方正仿宋简体"/>
          <w:sz w:val="32"/>
          <w:szCs w:val="32"/>
        </w:rPr>
        <w:t>总产量</w:t>
      </w:r>
      <w:r>
        <w:rPr>
          <w:rFonts w:hint="eastAsia" w:eastAsia="方正仿宋简体"/>
          <w:sz w:val="32"/>
          <w:szCs w:val="32"/>
          <w:lang w:val="en-US" w:eastAsia="zh-CN"/>
        </w:rPr>
        <w:t>81.63</w:t>
      </w:r>
      <w:r>
        <w:rPr>
          <w:rFonts w:hint="eastAsia" w:eastAsia="方正仿宋简体"/>
          <w:sz w:val="32"/>
          <w:szCs w:val="32"/>
        </w:rPr>
        <w:t>万</w:t>
      </w:r>
      <w:r>
        <w:rPr>
          <w:rFonts w:eastAsia="方正仿宋简体"/>
          <w:sz w:val="32"/>
          <w:szCs w:val="32"/>
        </w:rPr>
        <w:t>吨，同</w:t>
      </w:r>
      <w:r>
        <w:rPr>
          <w:rFonts w:hint="eastAsia" w:eastAsia="方正仿宋简体"/>
          <w:sz w:val="32"/>
          <w:szCs w:val="32"/>
        </w:rPr>
        <w:t>比</w:t>
      </w:r>
      <w:r>
        <w:rPr>
          <w:rFonts w:eastAsia="方正仿宋简体"/>
          <w:sz w:val="32"/>
          <w:szCs w:val="32"/>
        </w:rPr>
        <w:t>增长</w:t>
      </w:r>
      <w:r>
        <w:rPr>
          <w:rFonts w:hint="eastAsia" w:eastAsia="方正仿宋简体"/>
          <w:sz w:val="32"/>
          <w:szCs w:val="32"/>
          <w:lang w:val="en-US" w:eastAsia="zh-CN"/>
        </w:rPr>
        <w:t>4.8</w:t>
      </w:r>
      <w:r>
        <w:rPr>
          <w:rFonts w:eastAsia="方正仿宋简体"/>
          <w:sz w:val="32"/>
          <w:szCs w:val="32"/>
        </w:rPr>
        <w:t>%</w:t>
      </w:r>
      <w:r>
        <w:rPr>
          <w:rFonts w:hint="eastAsia" w:eastAsia="方正仿宋简体"/>
          <w:sz w:val="32"/>
          <w:szCs w:val="32"/>
        </w:rPr>
        <w:t>；瓜类总</w:t>
      </w:r>
      <w:r>
        <w:rPr>
          <w:rFonts w:eastAsia="方正仿宋简体"/>
          <w:sz w:val="32"/>
          <w:szCs w:val="32"/>
        </w:rPr>
        <w:t>产量</w:t>
      </w:r>
      <w:r>
        <w:rPr>
          <w:rFonts w:hint="eastAsia" w:eastAsia="方正仿宋简体"/>
          <w:sz w:val="32"/>
          <w:szCs w:val="32"/>
          <w:lang w:val="en-US" w:eastAsia="zh-CN"/>
        </w:rPr>
        <w:t>5.29</w:t>
      </w:r>
      <w:r>
        <w:rPr>
          <w:rFonts w:hint="eastAsia" w:eastAsia="方正仿宋简体"/>
          <w:sz w:val="32"/>
          <w:szCs w:val="32"/>
        </w:rPr>
        <w:t>万</w:t>
      </w:r>
      <w:r>
        <w:rPr>
          <w:rFonts w:eastAsia="方正仿宋简体"/>
          <w:sz w:val="32"/>
          <w:szCs w:val="32"/>
        </w:rPr>
        <w:t>吨，同比下降</w:t>
      </w:r>
      <w:r>
        <w:rPr>
          <w:rFonts w:hint="eastAsia" w:eastAsia="方正仿宋简体"/>
          <w:sz w:val="32"/>
          <w:szCs w:val="32"/>
          <w:lang w:val="en-US" w:eastAsia="zh-CN"/>
        </w:rPr>
        <w:t>45.1</w:t>
      </w:r>
      <w:r>
        <w:rPr>
          <w:rFonts w:eastAsia="方正仿宋简体"/>
          <w:sz w:val="32"/>
          <w:szCs w:val="32"/>
        </w:rPr>
        <w:t>%。</w:t>
      </w:r>
    </w:p>
    <w:p>
      <w:pPr>
        <w:pStyle w:val="2"/>
        <w:keepNext w:val="0"/>
        <w:keepLines w:val="0"/>
        <w:spacing w:before="0" w:after="0"/>
        <w:jc w:val="center"/>
      </w:pPr>
      <w:r>
        <w:drawing>
          <wp:inline distT="0" distB="0" distL="114300" distR="114300">
            <wp:extent cx="4866640" cy="2752725"/>
            <wp:effectExtent l="4445" t="4445" r="5715" b="508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全年主要牲畜存栏总数</w:t>
      </w:r>
      <w:r>
        <w:rPr>
          <w:rFonts w:hint="default" w:ascii="Times New Roman" w:hAnsi="Times New Roman" w:eastAsia="方正仿宋简体" w:cs="Times New Roman"/>
          <w:sz w:val="32"/>
          <w:szCs w:val="32"/>
          <w:lang w:val="en-US" w:eastAsia="zh-CN"/>
        </w:rPr>
        <w:t>208.74</w:t>
      </w:r>
      <w:r>
        <w:rPr>
          <w:rFonts w:hint="default" w:ascii="Times New Roman" w:hAnsi="Times New Roman" w:eastAsia="方正仿宋简体" w:cs="Times New Roman"/>
          <w:sz w:val="32"/>
          <w:szCs w:val="32"/>
        </w:rPr>
        <w:t>万头（只），同比下降</w:t>
      </w:r>
      <w:r>
        <w:rPr>
          <w:rFonts w:hint="default" w:ascii="Times New Roman" w:hAnsi="Times New Roman" w:eastAsia="方正仿宋简体" w:cs="Times New Roman"/>
          <w:sz w:val="32"/>
          <w:szCs w:val="32"/>
          <w:lang w:val="en-US" w:eastAsia="zh-CN"/>
        </w:rPr>
        <w:t>8.2</w:t>
      </w:r>
      <w:r>
        <w:rPr>
          <w:rFonts w:hint="default" w:ascii="Times New Roman" w:hAnsi="Times New Roman" w:eastAsia="方正仿宋简体" w:cs="Times New Roman"/>
          <w:sz w:val="32"/>
          <w:szCs w:val="32"/>
        </w:rPr>
        <w:t>%，其中：牛存栏</w:t>
      </w:r>
      <w:r>
        <w:rPr>
          <w:rFonts w:hint="default" w:ascii="Times New Roman" w:hAnsi="Times New Roman" w:eastAsia="方正仿宋简体" w:cs="Times New Roman"/>
          <w:sz w:val="32"/>
          <w:szCs w:val="32"/>
          <w:lang w:val="en-US" w:eastAsia="zh-CN"/>
        </w:rPr>
        <w:t>10.06</w:t>
      </w:r>
      <w:r>
        <w:rPr>
          <w:rFonts w:hint="default" w:ascii="Times New Roman" w:hAnsi="Times New Roman" w:eastAsia="方正仿宋简体" w:cs="Times New Roman"/>
          <w:sz w:val="32"/>
          <w:szCs w:val="32"/>
        </w:rPr>
        <w:t>万头，同比增长</w:t>
      </w:r>
      <w:r>
        <w:rPr>
          <w:rFonts w:hint="default" w:ascii="Times New Roman" w:hAnsi="Times New Roman" w:eastAsia="方正仿宋简体" w:cs="Times New Roman"/>
          <w:sz w:val="32"/>
          <w:szCs w:val="32"/>
          <w:lang w:val="en-US" w:eastAsia="zh-CN"/>
        </w:rPr>
        <w:t>14</w:t>
      </w:r>
      <w:r>
        <w:rPr>
          <w:rFonts w:hint="default" w:ascii="Times New Roman" w:hAnsi="Times New Roman" w:eastAsia="方正仿宋简体" w:cs="Times New Roman"/>
          <w:sz w:val="32"/>
          <w:szCs w:val="32"/>
        </w:rPr>
        <w:t>%，羊</w:t>
      </w:r>
      <w:r>
        <w:rPr>
          <w:rFonts w:hint="default" w:ascii="Times New Roman" w:hAnsi="Times New Roman" w:eastAsia="方正仿宋简体" w:cs="Times New Roman"/>
          <w:sz w:val="32"/>
          <w:szCs w:val="32"/>
          <w:lang w:val="en-US" w:eastAsia="zh-CN"/>
        </w:rPr>
        <w:t>43.99</w:t>
      </w:r>
      <w:r>
        <w:rPr>
          <w:rFonts w:hint="default" w:ascii="Times New Roman" w:hAnsi="Times New Roman" w:eastAsia="方正仿宋简体" w:cs="Times New Roman"/>
          <w:sz w:val="32"/>
          <w:szCs w:val="32"/>
        </w:rPr>
        <w:t>万只，同比下降</w:t>
      </w:r>
      <w:r>
        <w:rPr>
          <w:rFonts w:hint="default" w:ascii="Times New Roman" w:hAnsi="Times New Roman" w:eastAsia="方正仿宋简体" w:cs="Times New Roman"/>
          <w:sz w:val="32"/>
          <w:szCs w:val="32"/>
          <w:lang w:val="en-US" w:eastAsia="zh-CN"/>
        </w:rPr>
        <w:t>17.9</w:t>
      </w:r>
      <w:r>
        <w:rPr>
          <w:rFonts w:hint="default" w:ascii="Times New Roman" w:hAnsi="Times New Roman" w:eastAsia="方正仿宋简体" w:cs="Times New Roman"/>
          <w:sz w:val="32"/>
          <w:szCs w:val="32"/>
        </w:rPr>
        <w:t>%，猪</w:t>
      </w:r>
      <w:r>
        <w:rPr>
          <w:rFonts w:hint="default" w:ascii="Times New Roman" w:hAnsi="Times New Roman" w:eastAsia="方正仿宋简体" w:cs="Times New Roman"/>
          <w:sz w:val="32"/>
          <w:szCs w:val="32"/>
          <w:lang w:val="en-US" w:eastAsia="zh-CN"/>
        </w:rPr>
        <w:t>0.12</w:t>
      </w:r>
      <w:r>
        <w:rPr>
          <w:rFonts w:hint="default" w:ascii="Times New Roman" w:hAnsi="Times New Roman" w:eastAsia="方正仿宋简体" w:cs="Times New Roman"/>
          <w:sz w:val="32"/>
          <w:szCs w:val="32"/>
        </w:rPr>
        <w:t>万头，同比下降</w:t>
      </w:r>
      <w:r>
        <w:rPr>
          <w:rFonts w:hint="default" w:ascii="Times New Roman" w:hAnsi="Times New Roman" w:eastAsia="方正仿宋简体" w:cs="Times New Roman"/>
          <w:sz w:val="32"/>
          <w:szCs w:val="32"/>
          <w:lang w:val="en-US" w:eastAsia="zh-CN"/>
        </w:rPr>
        <w:t>38.7</w:t>
      </w:r>
      <w:r>
        <w:rPr>
          <w:rFonts w:hint="default" w:ascii="Times New Roman" w:hAnsi="Times New Roman" w:eastAsia="方正仿宋简体" w:cs="Times New Roman"/>
          <w:sz w:val="32"/>
          <w:szCs w:val="32"/>
        </w:rPr>
        <w:t>%，主要活家禽存栏数为</w:t>
      </w:r>
      <w:r>
        <w:rPr>
          <w:rFonts w:hint="default" w:ascii="Times New Roman" w:hAnsi="Times New Roman" w:eastAsia="方正仿宋简体" w:cs="Times New Roman"/>
          <w:sz w:val="32"/>
          <w:szCs w:val="32"/>
          <w:lang w:val="en-US" w:eastAsia="zh-CN"/>
        </w:rPr>
        <w:t>154.57</w:t>
      </w:r>
      <w:r>
        <w:rPr>
          <w:rFonts w:hint="default" w:ascii="Times New Roman" w:hAnsi="Times New Roman" w:eastAsia="方正仿宋简体" w:cs="Times New Roman"/>
          <w:sz w:val="32"/>
          <w:szCs w:val="32"/>
        </w:rPr>
        <w:t>万只（羽）（不包含鸽子），同比下降</w:t>
      </w:r>
      <w:r>
        <w:rPr>
          <w:rFonts w:hint="default" w:ascii="Times New Roman" w:hAnsi="Times New Roman" w:eastAsia="方正仿宋简体" w:cs="Times New Roman"/>
          <w:sz w:val="32"/>
          <w:szCs w:val="32"/>
          <w:lang w:val="en-US" w:eastAsia="zh-CN"/>
        </w:rPr>
        <w:t>6.2</w:t>
      </w:r>
      <w:r>
        <w:rPr>
          <w:rFonts w:hint="default" w:ascii="Times New Roman" w:hAnsi="Times New Roman" w:eastAsia="方正仿宋简体" w:cs="Times New Roman"/>
          <w:sz w:val="32"/>
          <w:szCs w:val="32"/>
        </w:rPr>
        <w:t>%。主要畜禽出栏总数为</w:t>
      </w:r>
      <w:r>
        <w:rPr>
          <w:rFonts w:hint="default" w:ascii="Times New Roman" w:hAnsi="Times New Roman" w:eastAsia="方正仿宋简体" w:cs="Times New Roman"/>
          <w:sz w:val="32"/>
          <w:szCs w:val="32"/>
          <w:lang w:val="en-US" w:eastAsia="zh-CN"/>
        </w:rPr>
        <w:t>224.65</w:t>
      </w:r>
      <w:r>
        <w:rPr>
          <w:rFonts w:hint="default" w:ascii="Times New Roman" w:hAnsi="Times New Roman" w:eastAsia="方正仿宋简体" w:cs="Times New Roman"/>
          <w:sz w:val="32"/>
          <w:szCs w:val="32"/>
        </w:rPr>
        <w:t>万头（只），同比</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19</w:t>
      </w:r>
      <w:r>
        <w:rPr>
          <w:rFonts w:hint="default" w:ascii="Times New Roman" w:hAnsi="Times New Roman" w:eastAsia="方正仿宋简体" w:cs="Times New Roman"/>
          <w:sz w:val="32"/>
          <w:szCs w:val="32"/>
        </w:rPr>
        <w:t>%。其中：猪</w:t>
      </w:r>
      <w:r>
        <w:rPr>
          <w:rFonts w:hint="default" w:ascii="Times New Roman" w:hAnsi="Times New Roman" w:eastAsia="方正仿宋简体" w:cs="Times New Roman"/>
          <w:sz w:val="32"/>
          <w:szCs w:val="32"/>
          <w:lang w:val="en-US" w:eastAsia="zh-CN"/>
        </w:rPr>
        <w:t>0.52</w:t>
      </w:r>
      <w:r>
        <w:rPr>
          <w:rFonts w:hint="default" w:ascii="Times New Roman" w:hAnsi="Times New Roman" w:eastAsia="方正仿宋简体" w:cs="Times New Roman"/>
          <w:sz w:val="32"/>
          <w:szCs w:val="32"/>
        </w:rPr>
        <w:t>万头，同比</w:t>
      </w:r>
      <w:r>
        <w:rPr>
          <w:rFonts w:hint="default" w:ascii="Times New Roman" w:hAnsi="Times New Roman" w:eastAsia="方正仿宋简体" w:cs="Times New Roman"/>
          <w:sz w:val="32"/>
          <w:szCs w:val="32"/>
          <w:lang w:eastAsia="zh-CN"/>
        </w:rPr>
        <w:t>增长</w:t>
      </w:r>
      <w:r>
        <w:rPr>
          <w:rFonts w:hint="default" w:ascii="Times New Roman" w:hAnsi="Times New Roman" w:eastAsia="方正仿宋简体" w:cs="Times New Roman"/>
          <w:sz w:val="32"/>
          <w:szCs w:val="32"/>
          <w:lang w:val="en-US" w:eastAsia="zh-CN"/>
        </w:rPr>
        <w:t>66</w:t>
      </w:r>
      <w:r>
        <w:rPr>
          <w:rFonts w:hint="default" w:ascii="Times New Roman" w:hAnsi="Times New Roman" w:eastAsia="方正仿宋简体" w:cs="Times New Roman"/>
          <w:sz w:val="32"/>
          <w:szCs w:val="32"/>
        </w:rPr>
        <w:t>%；牛</w:t>
      </w:r>
      <w:r>
        <w:rPr>
          <w:rFonts w:hint="default" w:ascii="Times New Roman" w:hAnsi="Times New Roman" w:eastAsia="方正仿宋简体" w:cs="Times New Roman"/>
          <w:sz w:val="32"/>
          <w:szCs w:val="32"/>
          <w:lang w:val="en-US" w:eastAsia="zh-CN"/>
        </w:rPr>
        <w:t>2.84</w:t>
      </w:r>
      <w:r>
        <w:rPr>
          <w:rFonts w:hint="default" w:ascii="Times New Roman" w:hAnsi="Times New Roman" w:eastAsia="方正仿宋简体" w:cs="Times New Roman"/>
          <w:sz w:val="32"/>
          <w:szCs w:val="32"/>
        </w:rPr>
        <w:t>万头，同比增长</w:t>
      </w:r>
      <w:r>
        <w:rPr>
          <w:rFonts w:hint="default" w:ascii="Times New Roman" w:hAnsi="Times New Roman" w:eastAsia="方正仿宋简体" w:cs="Times New Roman"/>
          <w:sz w:val="32"/>
          <w:szCs w:val="32"/>
          <w:lang w:val="en-US" w:eastAsia="zh-CN"/>
        </w:rPr>
        <w:t>5.8</w:t>
      </w:r>
      <w:r>
        <w:rPr>
          <w:rFonts w:hint="default" w:ascii="Times New Roman" w:hAnsi="Times New Roman" w:eastAsia="方正仿宋简体" w:cs="Times New Roman"/>
          <w:sz w:val="32"/>
          <w:szCs w:val="32"/>
        </w:rPr>
        <w:t>%；羊</w:t>
      </w:r>
      <w:r>
        <w:rPr>
          <w:rFonts w:hint="default" w:ascii="Times New Roman" w:hAnsi="Times New Roman" w:eastAsia="方正仿宋简体" w:cs="Times New Roman"/>
          <w:sz w:val="32"/>
          <w:szCs w:val="32"/>
          <w:lang w:val="en-US" w:eastAsia="zh-CN"/>
        </w:rPr>
        <w:t>39.74</w:t>
      </w:r>
      <w:r>
        <w:rPr>
          <w:rFonts w:hint="default" w:ascii="Times New Roman" w:hAnsi="Times New Roman" w:eastAsia="方正仿宋简体" w:cs="Times New Roman"/>
          <w:sz w:val="32"/>
          <w:szCs w:val="32"/>
        </w:rPr>
        <w:t>万头，同比</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13.4</w:t>
      </w:r>
      <w:r>
        <w:rPr>
          <w:rFonts w:hint="default" w:ascii="Times New Roman" w:hAnsi="Times New Roman" w:eastAsia="方正仿宋简体" w:cs="Times New Roman"/>
          <w:sz w:val="32"/>
          <w:szCs w:val="32"/>
        </w:rPr>
        <w:t>%。主要活家禽出栏总数为</w:t>
      </w:r>
      <w:r>
        <w:rPr>
          <w:rFonts w:hint="default" w:ascii="Times New Roman" w:hAnsi="Times New Roman" w:eastAsia="方正仿宋简体" w:cs="Times New Roman"/>
          <w:sz w:val="32"/>
          <w:szCs w:val="32"/>
          <w:lang w:val="en-US" w:eastAsia="zh-CN"/>
        </w:rPr>
        <w:t>181.55</w:t>
      </w:r>
      <w:r>
        <w:rPr>
          <w:rFonts w:hint="default" w:ascii="Times New Roman" w:hAnsi="Times New Roman" w:eastAsia="方正仿宋简体" w:cs="Times New Roman"/>
          <w:sz w:val="32"/>
          <w:szCs w:val="32"/>
        </w:rPr>
        <w:t>万只（羽）（不包含鸽子），同比增长</w:t>
      </w:r>
      <w:r>
        <w:rPr>
          <w:rFonts w:hint="default" w:ascii="Times New Roman" w:hAnsi="Times New Roman" w:eastAsia="方正仿宋简体" w:cs="Times New Roman"/>
          <w:sz w:val="32"/>
          <w:szCs w:val="32"/>
          <w:lang w:val="en-US" w:eastAsia="zh-CN"/>
        </w:rPr>
        <w:t>20.5</w:t>
      </w:r>
      <w:r>
        <w:rPr>
          <w:rFonts w:hint="default" w:ascii="Times New Roman" w:hAnsi="Times New Roman" w:eastAsia="方正仿宋简体" w:cs="Times New Roman"/>
          <w:sz w:val="32"/>
          <w:szCs w:val="32"/>
        </w:rPr>
        <w:t>%。奶产量</w:t>
      </w:r>
      <w:r>
        <w:rPr>
          <w:rFonts w:hint="default" w:ascii="Times New Roman" w:hAnsi="Times New Roman" w:eastAsia="方正仿宋简体" w:cs="Times New Roman"/>
          <w:sz w:val="32"/>
          <w:szCs w:val="32"/>
          <w:lang w:val="en-US" w:eastAsia="zh-CN"/>
        </w:rPr>
        <w:t>1.96</w:t>
      </w:r>
      <w:r>
        <w:rPr>
          <w:rFonts w:hint="default" w:ascii="Times New Roman" w:hAnsi="Times New Roman" w:eastAsia="方正仿宋简体" w:cs="Times New Roman"/>
          <w:sz w:val="32"/>
          <w:szCs w:val="32"/>
        </w:rPr>
        <w:t>万吨，同比下降</w:t>
      </w:r>
      <w:r>
        <w:rPr>
          <w:rFonts w:hint="default" w:ascii="Times New Roman" w:hAnsi="Times New Roman" w:eastAsia="方正仿宋简体" w:cs="Times New Roman"/>
          <w:sz w:val="32"/>
          <w:szCs w:val="32"/>
          <w:lang w:val="en-US" w:eastAsia="zh-CN"/>
        </w:rPr>
        <w:t>4</w:t>
      </w:r>
      <w:r>
        <w:rPr>
          <w:rFonts w:hint="default" w:ascii="Times New Roman" w:hAnsi="Times New Roman" w:eastAsia="方正仿宋简体" w:cs="Times New Roman"/>
          <w:sz w:val="32"/>
          <w:szCs w:val="32"/>
        </w:rPr>
        <w:t>%。主要禽蛋产量</w:t>
      </w:r>
      <w:r>
        <w:rPr>
          <w:rFonts w:hint="default" w:ascii="Times New Roman" w:hAnsi="Times New Roman" w:eastAsia="方正仿宋简体" w:cs="Times New Roman"/>
          <w:sz w:val="32"/>
          <w:szCs w:val="32"/>
          <w:lang w:val="en-US" w:eastAsia="zh-CN"/>
        </w:rPr>
        <w:t>1.12</w:t>
      </w:r>
      <w:r>
        <w:rPr>
          <w:rFonts w:hint="default" w:ascii="Times New Roman" w:hAnsi="Times New Roman" w:eastAsia="方正仿宋简体" w:cs="Times New Roman"/>
          <w:sz w:val="32"/>
          <w:szCs w:val="32"/>
        </w:rPr>
        <w:t>万吨，同比增长</w:t>
      </w:r>
      <w:r>
        <w:rPr>
          <w:rFonts w:hint="default" w:ascii="Times New Roman" w:hAnsi="Times New Roman" w:eastAsia="方正仿宋简体" w:cs="Times New Roman"/>
          <w:sz w:val="32"/>
          <w:szCs w:val="32"/>
          <w:lang w:val="en-US" w:eastAsia="zh-CN"/>
        </w:rPr>
        <w:t>13</w:t>
      </w:r>
      <w:r>
        <w:rPr>
          <w:rFonts w:hint="default" w:ascii="Times New Roman" w:hAnsi="Times New Roman" w:eastAsia="方正仿宋简体" w:cs="Times New Roman"/>
          <w:sz w:val="32"/>
          <w:szCs w:val="32"/>
        </w:rPr>
        <w:t>%。主要畜禽肉产量</w:t>
      </w:r>
      <w:r>
        <w:rPr>
          <w:rFonts w:hint="default" w:ascii="Times New Roman" w:hAnsi="Times New Roman" w:eastAsia="方正仿宋简体" w:cs="Times New Roman"/>
          <w:sz w:val="32"/>
          <w:szCs w:val="32"/>
          <w:lang w:val="en-US" w:eastAsia="zh-CN"/>
        </w:rPr>
        <w:t>1.51</w:t>
      </w:r>
      <w:r>
        <w:rPr>
          <w:rFonts w:hint="default" w:ascii="Times New Roman" w:hAnsi="Times New Roman" w:eastAsia="方正仿宋简体" w:cs="Times New Roman"/>
          <w:sz w:val="32"/>
          <w:szCs w:val="32"/>
        </w:rPr>
        <w:t>万吨，同比</w:t>
      </w:r>
      <w:r>
        <w:rPr>
          <w:rFonts w:hint="default" w:ascii="Times New Roman" w:hAnsi="Times New Roman" w:eastAsia="方正仿宋简体" w:cs="Times New Roman"/>
          <w:sz w:val="32"/>
          <w:szCs w:val="32"/>
          <w:lang w:eastAsia="zh-CN"/>
        </w:rPr>
        <w:t>下降</w:t>
      </w:r>
      <w:r>
        <w:rPr>
          <w:rFonts w:hint="default" w:ascii="Times New Roman" w:hAnsi="Times New Roman" w:eastAsia="方正仿宋简体" w:cs="Times New Roman"/>
          <w:sz w:val="32"/>
          <w:szCs w:val="32"/>
          <w:lang w:val="en-US" w:eastAsia="zh-CN"/>
        </w:rPr>
        <w:t>7.13</w:t>
      </w:r>
      <w:r>
        <w:rPr>
          <w:rFonts w:hint="default" w:ascii="Times New Roman" w:hAnsi="Times New Roman" w:eastAsia="方正仿宋简体" w:cs="Times New Roman"/>
          <w:sz w:val="32"/>
          <w:szCs w:val="32"/>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202</w:t>
      </w:r>
      <w:r>
        <w:rPr>
          <w:rFonts w:hint="default" w:ascii="Times New Roman" w:hAnsi="Times New Roman" w:eastAsia="方正仿宋简体" w:cs="Times New Roman"/>
          <w:color w:val="auto"/>
          <w:sz w:val="32"/>
          <w:szCs w:val="32"/>
          <w:highlight w:val="none"/>
          <w:lang w:val="en-US" w:eastAsia="zh-CN"/>
        </w:rPr>
        <w:t>4</w:t>
      </w:r>
      <w:r>
        <w:rPr>
          <w:rFonts w:hint="default" w:ascii="Times New Roman" w:hAnsi="Times New Roman" w:eastAsia="方正仿宋简体" w:cs="Times New Roman"/>
          <w:color w:val="auto"/>
          <w:sz w:val="32"/>
          <w:szCs w:val="32"/>
          <w:highlight w:val="none"/>
        </w:rPr>
        <w:t>年末农业机械总动力</w:t>
      </w:r>
      <w:r>
        <w:rPr>
          <w:rFonts w:hint="default" w:ascii="Times New Roman" w:hAnsi="Times New Roman" w:eastAsia="方正仿宋简体" w:cs="Times New Roman"/>
          <w:color w:val="auto"/>
          <w:sz w:val="32"/>
          <w:szCs w:val="32"/>
          <w:highlight w:val="none"/>
          <w:lang w:val="en-US" w:eastAsia="zh-CN"/>
        </w:rPr>
        <w:t>68.84万</w:t>
      </w:r>
      <w:r>
        <w:rPr>
          <w:rFonts w:hint="default" w:ascii="Times New Roman" w:hAnsi="Times New Roman" w:eastAsia="方正仿宋简体" w:cs="Times New Roman"/>
          <w:color w:val="auto"/>
          <w:sz w:val="32"/>
          <w:szCs w:val="32"/>
          <w:highlight w:val="none"/>
        </w:rPr>
        <w:t>千瓦，比上年增长</w:t>
      </w:r>
      <w:r>
        <w:rPr>
          <w:rFonts w:hint="default" w:ascii="Times New Roman" w:hAnsi="Times New Roman" w:eastAsia="方正仿宋简体" w:cs="Times New Roman"/>
          <w:color w:val="auto"/>
          <w:sz w:val="32"/>
          <w:szCs w:val="32"/>
          <w:highlight w:val="none"/>
          <w:lang w:val="en-US" w:eastAsia="zh-CN"/>
        </w:rPr>
        <w:t>0.53</w:t>
      </w:r>
      <w:r>
        <w:rPr>
          <w:rFonts w:hint="default" w:ascii="Times New Roman" w:hAnsi="Times New Roman" w:eastAsia="方正仿宋简体" w:cs="Times New Roman"/>
          <w:color w:val="auto"/>
          <w:sz w:val="32"/>
          <w:szCs w:val="32"/>
          <w:highlight w:val="none"/>
        </w:rPr>
        <w:t>%。拥有大中型及以上拖拉机</w:t>
      </w:r>
      <w:r>
        <w:rPr>
          <w:rFonts w:hint="default" w:ascii="Times New Roman" w:hAnsi="Times New Roman" w:eastAsia="方正仿宋简体" w:cs="Times New Roman"/>
          <w:color w:val="auto"/>
          <w:sz w:val="32"/>
          <w:szCs w:val="32"/>
          <w:highlight w:val="none"/>
          <w:lang w:val="en-US" w:eastAsia="zh-CN"/>
        </w:rPr>
        <w:t>0.68</w:t>
      </w:r>
      <w:r>
        <w:rPr>
          <w:rFonts w:hint="default" w:ascii="Times New Roman" w:hAnsi="Times New Roman" w:eastAsia="方正仿宋简体" w:cs="Times New Roman"/>
          <w:color w:val="auto"/>
          <w:sz w:val="32"/>
          <w:szCs w:val="32"/>
          <w:highlight w:val="none"/>
        </w:rPr>
        <w:t>万台。农作物耕种综合机械化水平</w:t>
      </w:r>
      <w:r>
        <w:rPr>
          <w:rFonts w:hint="default" w:ascii="Times New Roman" w:hAnsi="Times New Roman" w:eastAsia="方正仿宋简体" w:cs="Times New Roman"/>
          <w:color w:val="auto"/>
          <w:sz w:val="32"/>
          <w:szCs w:val="32"/>
          <w:highlight w:val="none"/>
          <w:lang w:val="en-US" w:eastAsia="zh-CN"/>
        </w:rPr>
        <w:t>87.32</w:t>
      </w:r>
      <w:r>
        <w:rPr>
          <w:rFonts w:hint="default" w:ascii="Times New Roman" w:hAnsi="Times New Roman" w:eastAsia="方正仿宋简体" w:cs="Times New Roman"/>
          <w:color w:val="auto"/>
          <w:sz w:val="32"/>
          <w:szCs w:val="32"/>
          <w:highlight w:val="none"/>
        </w:rPr>
        <w:t>%，机播率</w:t>
      </w:r>
      <w:r>
        <w:rPr>
          <w:rFonts w:hint="default" w:ascii="Times New Roman" w:hAnsi="Times New Roman" w:eastAsia="方正仿宋简体" w:cs="Times New Roman"/>
          <w:color w:val="auto"/>
          <w:sz w:val="32"/>
          <w:szCs w:val="32"/>
          <w:highlight w:val="none"/>
          <w:lang w:val="en-US" w:eastAsia="zh-CN"/>
        </w:rPr>
        <w:t>89.63</w:t>
      </w:r>
      <w:r>
        <w:rPr>
          <w:rFonts w:hint="default" w:ascii="Times New Roman" w:hAnsi="Times New Roman" w:eastAsia="方正仿宋简体" w:cs="Times New Roman"/>
          <w:color w:val="auto"/>
          <w:sz w:val="32"/>
          <w:szCs w:val="32"/>
          <w:highlight w:val="none"/>
        </w:rPr>
        <w:t>%，机收率</w:t>
      </w:r>
      <w:r>
        <w:rPr>
          <w:rFonts w:hint="default" w:ascii="Times New Roman" w:hAnsi="Times New Roman" w:eastAsia="方正仿宋简体" w:cs="Times New Roman"/>
          <w:color w:val="auto"/>
          <w:sz w:val="32"/>
          <w:szCs w:val="32"/>
          <w:highlight w:val="none"/>
          <w:lang w:val="en-US" w:eastAsia="zh-CN"/>
        </w:rPr>
        <w:t>68.11</w:t>
      </w:r>
      <w:r>
        <w:rPr>
          <w:rFonts w:hint="default" w:ascii="Times New Roman" w:hAnsi="Times New Roman" w:eastAsia="方正仿宋简体" w:cs="Times New Roman"/>
          <w:color w:val="auto"/>
          <w:sz w:val="32"/>
          <w:szCs w:val="32"/>
          <w:highlight w:val="none"/>
        </w:rPr>
        <w:t>%。</w:t>
      </w:r>
    </w:p>
    <w:p>
      <w:pPr>
        <w:pStyle w:val="2"/>
        <w:pageBreakBefore w:val="0"/>
        <w:widowControl w:val="0"/>
        <w:kinsoku/>
        <w:wordWrap/>
        <w:overflowPunct/>
        <w:topLinePunct w:val="0"/>
        <w:autoSpaceDE/>
        <w:autoSpaceDN/>
        <w:bidi w:val="0"/>
        <w:adjustRightInd/>
        <w:snapToGrid/>
        <w:spacing w:before="0" w:after="0" w:line="620" w:lineRule="exact"/>
        <w:jc w:val="center"/>
        <w:textAlignment w:val="auto"/>
        <w:rPr>
          <w:rFonts w:hint="eastAsia" w:ascii="方正黑体简体" w:hAnsi="方正黑体简体" w:eastAsia="方正黑体简体" w:cs="方正黑体简体"/>
          <w:b w:val="0"/>
          <w:bCs/>
          <w:szCs w:val="32"/>
        </w:rPr>
      </w:pPr>
    </w:p>
    <w:p>
      <w:pPr>
        <w:pStyle w:val="2"/>
        <w:pageBreakBefore w:val="0"/>
        <w:widowControl w:val="0"/>
        <w:kinsoku/>
        <w:wordWrap/>
        <w:overflowPunct/>
        <w:topLinePunct w:val="0"/>
        <w:autoSpaceDE/>
        <w:autoSpaceDN/>
        <w:bidi w:val="0"/>
        <w:adjustRightInd/>
        <w:snapToGrid/>
        <w:spacing w:before="0" w:after="0" w:line="620" w:lineRule="exact"/>
        <w:jc w:val="center"/>
        <w:textAlignment w:val="auto"/>
        <w:rPr>
          <w:rFonts w:ascii="方正黑体简体" w:hAnsi="方正黑体简体" w:eastAsia="方正黑体简体" w:cs="方正黑体简体"/>
          <w:b w:val="0"/>
          <w:bCs/>
        </w:rPr>
      </w:pPr>
      <w:r>
        <w:rPr>
          <w:rFonts w:hint="eastAsia" w:ascii="方正黑体简体" w:hAnsi="方正黑体简体" w:eastAsia="方正黑体简体" w:cs="方正黑体简体"/>
          <w:b w:val="0"/>
          <w:bCs/>
          <w:szCs w:val="32"/>
        </w:rPr>
        <w:t>三、工业和建筑业</w:t>
      </w:r>
    </w:p>
    <w:p>
      <w:pPr>
        <w:pageBreakBefore w:val="0"/>
        <w:widowControl w:val="0"/>
        <w:kinsoku/>
        <w:wordWrap/>
        <w:overflowPunct/>
        <w:topLinePunct w:val="0"/>
        <w:autoSpaceDE/>
        <w:autoSpaceDN/>
        <w:bidi w:val="0"/>
        <w:adjustRightInd/>
        <w:snapToGrid/>
        <w:spacing w:line="620" w:lineRule="exact"/>
        <w:ind w:firstLine="641"/>
        <w:textAlignment w:val="auto"/>
        <w:rPr>
          <w:rFonts w:hint="eastAsia" w:eastAsia="方正仿宋简体"/>
          <w:bCs/>
          <w:sz w:val="32"/>
          <w:szCs w:val="32"/>
        </w:rPr>
      </w:pPr>
    </w:p>
    <w:p>
      <w:pPr>
        <w:pageBreakBefore w:val="0"/>
        <w:widowControl w:val="0"/>
        <w:kinsoku/>
        <w:wordWrap/>
        <w:overflowPunct/>
        <w:topLinePunct w:val="0"/>
        <w:autoSpaceDE/>
        <w:autoSpaceDN/>
        <w:bidi w:val="0"/>
        <w:adjustRightInd/>
        <w:snapToGrid/>
        <w:spacing w:line="620" w:lineRule="exact"/>
        <w:ind w:firstLine="641"/>
        <w:textAlignment w:val="auto"/>
        <w:rPr>
          <w:rFonts w:eastAsia="方正仿宋简体"/>
          <w:sz w:val="32"/>
          <w:szCs w:val="32"/>
        </w:rPr>
      </w:pPr>
      <w:r>
        <w:rPr>
          <w:rFonts w:hint="eastAsia" w:eastAsia="方正仿宋简体"/>
          <w:bCs/>
          <w:sz w:val="32"/>
          <w:szCs w:val="32"/>
        </w:rPr>
        <w:t>全年全部</w:t>
      </w:r>
      <w:r>
        <w:rPr>
          <w:rFonts w:eastAsia="方正仿宋简体"/>
          <w:bCs/>
          <w:sz w:val="32"/>
          <w:szCs w:val="32"/>
        </w:rPr>
        <w:t>工业增加值</w:t>
      </w:r>
      <w:r>
        <w:rPr>
          <w:rFonts w:hint="eastAsia" w:eastAsia="方正仿宋简体"/>
          <w:bCs/>
          <w:sz w:val="32"/>
          <w:szCs w:val="32"/>
          <w:lang w:val="en-US" w:eastAsia="zh-CN"/>
        </w:rPr>
        <w:t>13.2</w:t>
      </w:r>
      <w:r>
        <w:rPr>
          <w:rFonts w:eastAsia="方正仿宋简体"/>
          <w:bCs/>
          <w:sz w:val="32"/>
          <w:szCs w:val="32"/>
        </w:rPr>
        <w:t>亿元，</w:t>
      </w:r>
      <w:r>
        <w:rPr>
          <w:rFonts w:hint="eastAsia" w:eastAsia="方正仿宋简体"/>
          <w:bCs/>
          <w:sz w:val="32"/>
          <w:szCs w:val="32"/>
        </w:rPr>
        <w:t>比上年增长</w:t>
      </w:r>
      <w:r>
        <w:rPr>
          <w:rFonts w:hint="eastAsia" w:eastAsia="方正仿宋简体"/>
          <w:bCs/>
          <w:sz w:val="32"/>
          <w:szCs w:val="32"/>
          <w:lang w:val="en-US" w:eastAsia="zh-CN"/>
        </w:rPr>
        <w:t>5.6</w:t>
      </w:r>
      <w:r>
        <w:rPr>
          <w:rFonts w:eastAsia="方正仿宋简体"/>
          <w:bCs/>
          <w:sz w:val="32"/>
          <w:szCs w:val="32"/>
        </w:rPr>
        <w:t>%。其中，规模以上工业增加值</w:t>
      </w:r>
      <w:r>
        <w:rPr>
          <w:rFonts w:hint="eastAsia" w:eastAsia="方正仿宋简体"/>
          <w:bCs/>
          <w:sz w:val="32"/>
          <w:szCs w:val="32"/>
          <w:lang w:val="en-US" w:eastAsia="zh-CN"/>
        </w:rPr>
        <w:t>8.27</w:t>
      </w:r>
      <w:r>
        <w:rPr>
          <w:rFonts w:eastAsia="方正仿宋简体"/>
          <w:bCs/>
          <w:sz w:val="32"/>
          <w:szCs w:val="32"/>
        </w:rPr>
        <w:t>亿元，比</w:t>
      </w:r>
      <w:r>
        <w:rPr>
          <w:rFonts w:hint="eastAsia" w:eastAsia="方正仿宋简体"/>
          <w:bCs/>
          <w:sz w:val="32"/>
          <w:szCs w:val="32"/>
        </w:rPr>
        <w:t>上年增长</w:t>
      </w:r>
      <w:r>
        <w:rPr>
          <w:rFonts w:hint="eastAsia" w:eastAsia="方正仿宋简体"/>
          <w:bCs/>
          <w:sz w:val="32"/>
          <w:szCs w:val="32"/>
          <w:lang w:val="en-US" w:eastAsia="zh-CN"/>
        </w:rPr>
        <w:t>6.9</w:t>
      </w:r>
      <w:r>
        <w:rPr>
          <w:rFonts w:eastAsia="方正仿宋简体"/>
          <w:bCs/>
          <w:sz w:val="32"/>
          <w:szCs w:val="32"/>
        </w:rPr>
        <w:t>%。</w:t>
      </w:r>
      <w:r>
        <w:rPr>
          <w:rFonts w:hint="eastAsia" w:eastAsia="方正仿宋简体"/>
          <w:bCs/>
          <w:sz w:val="32"/>
          <w:szCs w:val="32"/>
        </w:rPr>
        <w:t>在规模以上工业中，按经济类型划分，国有控股企业增加值</w:t>
      </w:r>
      <w:r>
        <w:rPr>
          <w:rFonts w:hint="eastAsia" w:eastAsia="方正仿宋简体"/>
          <w:sz w:val="32"/>
          <w:szCs w:val="32"/>
          <w:lang w:eastAsia="zh-CN"/>
        </w:rPr>
        <w:t>比上年</w:t>
      </w:r>
      <w:r>
        <w:rPr>
          <w:rFonts w:hint="eastAsia" w:eastAsia="方正仿宋简体"/>
          <w:bCs/>
          <w:sz w:val="32"/>
          <w:szCs w:val="32"/>
        </w:rPr>
        <w:t>增长</w:t>
      </w:r>
      <w:r>
        <w:rPr>
          <w:rFonts w:hint="eastAsia" w:eastAsia="方正仿宋简体"/>
          <w:bCs/>
          <w:sz w:val="32"/>
          <w:szCs w:val="32"/>
          <w:lang w:val="en-US" w:eastAsia="zh-CN"/>
        </w:rPr>
        <w:t>30.8</w:t>
      </w:r>
      <w:r>
        <w:rPr>
          <w:rFonts w:hint="eastAsia" w:eastAsia="方正仿宋简体"/>
          <w:bCs/>
          <w:sz w:val="32"/>
          <w:szCs w:val="32"/>
        </w:rPr>
        <w:t>%，股份制企业增加值</w:t>
      </w:r>
      <w:r>
        <w:rPr>
          <w:rFonts w:hint="eastAsia" w:eastAsia="方正仿宋简体"/>
          <w:sz w:val="32"/>
          <w:szCs w:val="32"/>
          <w:lang w:eastAsia="zh-CN"/>
        </w:rPr>
        <w:t>比上年</w:t>
      </w:r>
      <w:r>
        <w:rPr>
          <w:rFonts w:hint="eastAsia" w:eastAsia="方正仿宋简体"/>
          <w:bCs/>
          <w:sz w:val="32"/>
          <w:szCs w:val="32"/>
        </w:rPr>
        <w:t>增长</w:t>
      </w:r>
      <w:r>
        <w:rPr>
          <w:rFonts w:hint="eastAsia" w:eastAsia="方正仿宋简体"/>
          <w:bCs/>
          <w:sz w:val="32"/>
          <w:szCs w:val="32"/>
          <w:lang w:val="en-US" w:eastAsia="zh-CN"/>
        </w:rPr>
        <w:t>6.9</w:t>
      </w:r>
      <w:r>
        <w:rPr>
          <w:rFonts w:hint="eastAsia" w:eastAsia="方正仿宋简体"/>
          <w:bCs/>
          <w:sz w:val="32"/>
          <w:szCs w:val="32"/>
        </w:rPr>
        <w:t>%，</w:t>
      </w:r>
      <w:r>
        <w:rPr>
          <w:rFonts w:hint="eastAsia" w:eastAsia="方正仿宋简体"/>
          <w:bCs/>
          <w:color w:val="auto"/>
          <w:sz w:val="32"/>
          <w:szCs w:val="32"/>
        </w:rPr>
        <w:t>私有企业增加值</w:t>
      </w:r>
      <w:r>
        <w:rPr>
          <w:rFonts w:hint="eastAsia" w:eastAsia="方正仿宋简体"/>
          <w:sz w:val="32"/>
          <w:szCs w:val="32"/>
          <w:lang w:eastAsia="zh-CN"/>
        </w:rPr>
        <w:t>比上年</w:t>
      </w:r>
      <w:r>
        <w:rPr>
          <w:rFonts w:hint="eastAsia" w:eastAsia="方正仿宋简体"/>
          <w:bCs/>
          <w:color w:val="auto"/>
          <w:sz w:val="32"/>
          <w:szCs w:val="32"/>
          <w:lang w:eastAsia="zh-CN"/>
        </w:rPr>
        <w:t>下降</w:t>
      </w:r>
      <w:r>
        <w:rPr>
          <w:rFonts w:hint="eastAsia" w:eastAsia="方正仿宋简体"/>
          <w:bCs/>
          <w:color w:val="auto"/>
          <w:sz w:val="32"/>
          <w:szCs w:val="32"/>
          <w:lang w:val="en-US" w:eastAsia="zh-CN"/>
        </w:rPr>
        <w:t>5.6</w:t>
      </w:r>
      <w:r>
        <w:rPr>
          <w:rFonts w:hint="eastAsia" w:eastAsia="方正仿宋简体"/>
          <w:bCs/>
          <w:color w:val="auto"/>
          <w:sz w:val="32"/>
          <w:szCs w:val="32"/>
        </w:rPr>
        <w:t>%</w:t>
      </w:r>
      <w:r>
        <w:rPr>
          <w:rFonts w:hint="eastAsia" w:eastAsia="方正仿宋简体"/>
          <w:bCs/>
          <w:sz w:val="32"/>
          <w:szCs w:val="32"/>
        </w:rPr>
        <w:t>。按工业三大门类划分，制造业</w:t>
      </w:r>
      <w:r>
        <w:rPr>
          <w:rFonts w:hint="eastAsia" w:eastAsia="方正仿宋简体"/>
          <w:sz w:val="32"/>
          <w:szCs w:val="32"/>
          <w:lang w:eastAsia="zh-CN"/>
        </w:rPr>
        <w:t>比上年</w:t>
      </w:r>
      <w:r>
        <w:rPr>
          <w:rFonts w:hint="eastAsia" w:eastAsia="方正仿宋简体"/>
          <w:sz w:val="32"/>
          <w:szCs w:val="32"/>
        </w:rPr>
        <w:t>增长</w:t>
      </w:r>
      <w:r>
        <w:rPr>
          <w:rFonts w:hint="eastAsia" w:eastAsia="方正仿宋简体"/>
          <w:sz w:val="32"/>
          <w:szCs w:val="32"/>
          <w:lang w:val="en-US" w:eastAsia="zh-CN"/>
        </w:rPr>
        <w:t>3.5</w:t>
      </w:r>
      <w:r>
        <w:rPr>
          <w:rFonts w:hint="eastAsia" w:eastAsia="方正仿宋简体"/>
          <w:sz w:val="32"/>
          <w:szCs w:val="32"/>
        </w:rPr>
        <w:t>%，电力、热力、燃气和水的生产和供应业</w:t>
      </w:r>
      <w:r>
        <w:rPr>
          <w:rFonts w:hint="eastAsia" w:eastAsia="方正仿宋简体"/>
          <w:sz w:val="32"/>
          <w:szCs w:val="32"/>
          <w:lang w:eastAsia="zh-CN"/>
        </w:rPr>
        <w:t>比上年</w:t>
      </w:r>
      <w:r>
        <w:rPr>
          <w:rFonts w:hint="eastAsia" w:eastAsia="方正仿宋简体"/>
          <w:sz w:val="32"/>
          <w:szCs w:val="32"/>
        </w:rPr>
        <w:t>增长</w:t>
      </w:r>
      <w:r>
        <w:rPr>
          <w:rFonts w:hint="eastAsia" w:eastAsia="方正仿宋简体"/>
          <w:sz w:val="32"/>
          <w:szCs w:val="32"/>
          <w:lang w:val="en-US" w:eastAsia="zh-CN"/>
        </w:rPr>
        <w:t>34.8</w:t>
      </w:r>
      <w:r>
        <w:rPr>
          <w:rFonts w:hint="eastAsia" w:eastAsia="方正仿宋简体"/>
          <w:sz w:val="32"/>
          <w:szCs w:val="32"/>
        </w:rPr>
        <w:t>%。按轻重工业划分，轻工业</w:t>
      </w:r>
      <w:r>
        <w:rPr>
          <w:rFonts w:hint="eastAsia" w:eastAsia="方正仿宋简体"/>
          <w:sz w:val="32"/>
          <w:szCs w:val="32"/>
          <w:lang w:eastAsia="zh-CN"/>
        </w:rPr>
        <w:t>比上年增长</w:t>
      </w:r>
      <w:r>
        <w:rPr>
          <w:rFonts w:hint="eastAsia" w:eastAsia="方正仿宋简体"/>
          <w:sz w:val="32"/>
          <w:szCs w:val="32"/>
          <w:lang w:val="en-US" w:eastAsia="zh-CN"/>
        </w:rPr>
        <w:t>1</w:t>
      </w:r>
      <w:r>
        <w:rPr>
          <w:rFonts w:hint="eastAsia" w:eastAsia="方正仿宋简体"/>
          <w:sz w:val="32"/>
          <w:szCs w:val="32"/>
        </w:rPr>
        <w:t>%，重工业</w:t>
      </w:r>
      <w:r>
        <w:rPr>
          <w:rFonts w:hint="eastAsia" w:eastAsia="方正仿宋简体"/>
          <w:sz w:val="32"/>
          <w:szCs w:val="32"/>
          <w:lang w:eastAsia="zh-CN"/>
        </w:rPr>
        <w:t>比上年</w:t>
      </w:r>
      <w:r>
        <w:rPr>
          <w:rFonts w:hint="eastAsia" w:eastAsia="方正仿宋简体"/>
          <w:sz w:val="32"/>
          <w:szCs w:val="32"/>
        </w:rPr>
        <w:t>增长</w:t>
      </w:r>
      <w:r>
        <w:rPr>
          <w:rFonts w:hint="eastAsia" w:eastAsia="方正仿宋简体"/>
          <w:sz w:val="32"/>
          <w:szCs w:val="32"/>
          <w:lang w:val="en-US" w:eastAsia="zh-CN"/>
        </w:rPr>
        <w:t>8.7</w:t>
      </w:r>
      <w:r>
        <w:rPr>
          <w:rFonts w:hint="eastAsia" w:eastAsia="方正仿宋简体"/>
          <w:sz w:val="32"/>
          <w:szCs w:val="32"/>
        </w:rPr>
        <w:t>%。</w:t>
      </w:r>
    </w:p>
    <w:p>
      <w:pPr>
        <w:pStyle w:val="3"/>
        <w:keepNext w:val="0"/>
        <w:keepLines w:val="0"/>
        <w:spacing w:before="0" w:after="0" w:line="620" w:lineRule="exact"/>
        <w:ind w:firstLine="643" w:firstLineChars="200"/>
        <w:rPr>
          <w:rFonts w:eastAsia="方正仿宋简体"/>
          <w:b w:val="0"/>
          <w:bCs/>
          <w:szCs w:val="32"/>
        </w:rPr>
      </w:pPr>
      <w:r>
        <w:drawing>
          <wp:anchor distT="0" distB="0" distL="114300" distR="114300" simplePos="0" relativeHeight="251661312" behindDoc="0" locked="0" layoutInCell="1" allowOverlap="1">
            <wp:simplePos x="0" y="0"/>
            <wp:positionH relativeFrom="column">
              <wp:posOffset>-6350</wp:posOffset>
            </wp:positionH>
            <wp:positionV relativeFrom="paragraph">
              <wp:posOffset>119380</wp:posOffset>
            </wp:positionV>
            <wp:extent cx="5416550" cy="3406140"/>
            <wp:effectExtent l="4445" t="4445" r="8255" b="18415"/>
            <wp:wrapNone/>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20" w:lineRule="exact"/>
        <w:ind w:firstLine="640" w:firstLineChars="200"/>
        <w:rPr>
          <w:rFonts w:eastAsia="方正仿宋简体"/>
          <w:sz w:val="32"/>
          <w:szCs w:val="32"/>
        </w:rPr>
      </w:pPr>
    </w:p>
    <w:p>
      <w:pPr>
        <w:pStyle w:val="2"/>
        <w:rPr>
          <w:rFonts w:ascii="Times New Roman" w:hAnsi="Times New Roman" w:eastAsia="方正仿宋简体"/>
          <w:szCs w:val="32"/>
        </w:rPr>
      </w:pPr>
    </w:p>
    <w:p>
      <w:pPr>
        <w:rPr>
          <w:rFonts w:eastAsia="方正仿宋简体"/>
          <w:sz w:val="32"/>
          <w:szCs w:val="32"/>
        </w:rPr>
      </w:pPr>
    </w:p>
    <w:p>
      <w:pPr>
        <w:pStyle w:val="2"/>
        <w:rPr>
          <w:rFonts w:ascii="Times New Roman" w:hAnsi="Times New Roman" w:eastAsia="方正仿宋简体"/>
          <w:szCs w:val="32"/>
        </w:rPr>
      </w:pPr>
    </w:p>
    <w:p/>
    <w:p>
      <w:pPr>
        <w:spacing w:line="620" w:lineRule="exact"/>
        <w:ind w:firstLine="640" w:firstLineChars="200"/>
        <w:rPr>
          <w:rFonts w:eastAsia="方正仿宋简体"/>
          <w:sz w:val="32"/>
          <w:szCs w:val="32"/>
        </w:rPr>
      </w:pPr>
    </w:p>
    <w:p>
      <w:pPr>
        <w:pStyle w:val="3"/>
        <w:keepNext w:val="0"/>
        <w:keepLines w:val="0"/>
        <w:spacing w:before="0" w:after="0" w:line="620" w:lineRule="exact"/>
        <w:ind w:firstLine="640" w:firstLineChars="200"/>
        <w:rPr>
          <w:rFonts w:eastAsia="方正仿宋简体"/>
          <w:b w:val="0"/>
          <w:bCs/>
          <w:szCs w:val="32"/>
        </w:rPr>
      </w:pPr>
    </w:p>
    <w:p>
      <w:pPr>
        <w:pStyle w:val="3"/>
        <w:keepNext w:val="0"/>
        <w:keepLines w:val="0"/>
        <w:pageBreakBefore w:val="0"/>
        <w:widowControl w:val="0"/>
        <w:kinsoku/>
        <w:wordWrap/>
        <w:overflowPunct/>
        <w:topLinePunct w:val="0"/>
        <w:autoSpaceDE/>
        <w:autoSpaceDN/>
        <w:bidi w:val="0"/>
        <w:adjustRightInd/>
        <w:snapToGrid/>
        <w:spacing w:before="0" w:after="0" w:line="620" w:lineRule="exact"/>
        <w:ind w:firstLine="640" w:firstLineChars="200"/>
        <w:textAlignment w:val="auto"/>
        <w:rPr>
          <w:rFonts w:hint="default" w:ascii="Times New Roman" w:hAnsi="Times New Roman" w:eastAsia="方正仿宋简体" w:cs="Times New Roman"/>
          <w:b w:val="0"/>
          <w:bCs/>
          <w:color w:val="auto"/>
          <w:szCs w:val="32"/>
          <w:lang w:eastAsia="zh-CN"/>
        </w:rPr>
      </w:pPr>
      <w:r>
        <w:rPr>
          <w:rFonts w:hint="default" w:ascii="Times New Roman" w:hAnsi="Times New Roman" w:eastAsia="方正仿宋简体" w:cs="Times New Roman"/>
          <w:b w:val="0"/>
          <w:bCs/>
          <w:color w:val="auto"/>
          <w:szCs w:val="32"/>
        </w:rPr>
        <w:t>全年规</w:t>
      </w:r>
      <w:r>
        <w:rPr>
          <w:rFonts w:hint="default" w:ascii="Times New Roman" w:hAnsi="Times New Roman" w:eastAsia="方正仿宋简体" w:cs="Times New Roman"/>
          <w:b w:val="0"/>
          <w:bCs/>
          <w:color w:val="auto"/>
          <w:szCs w:val="32"/>
          <w:lang w:eastAsia="zh-CN"/>
        </w:rPr>
        <w:t>模以</w:t>
      </w:r>
      <w:r>
        <w:rPr>
          <w:rFonts w:hint="default" w:ascii="Times New Roman" w:hAnsi="Times New Roman" w:eastAsia="方正仿宋简体" w:cs="Times New Roman"/>
          <w:b w:val="0"/>
          <w:bCs/>
          <w:color w:val="auto"/>
          <w:szCs w:val="32"/>
        </w:rPr>
        <w:t>上工业主要行业中，有色金属冶炼和压延加工业</w:t>
      </w:r>
      <w:r>
        <w:rPr>
          <w:rFonts w:hint="default" w:ascii="Times New Roman" w:hAnsi="Times New Roman" w:eastAsia="方正仿宋简体" w:cs="Times New Roman"/>
          <w:b w:val="0"/>
          <w:bCs/>
          <w:color w:val="auto"/>
          <w:szCs w:val="32"/>
          <w:lang w:eastAsia="zh-CN"/>
        </w:rPr>
        <w:t>增加值比上年增长</w:t>
      </w:r>
      <w:r>
        <w:rPr>
          <w:rFonts w:hint="default" w:ascii="Times New Roman" w:hAnsi="Times New Roman" w:eastAsia="方正仿宋简体" w:cs="Times New Roman"/>
          <w:b w:val="0"/>
          <w:bCs/>
          <w:color w:val="auto"/>
          <w:szCs w:val="32"/>
        </w:rPr>
        <w:t>100</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水的生产和供应业</w:t>
      </w:r>
      <w:r>
        <w:rPr>
          <w:rFonts w:hint="default" w:ascii="Times New Roman" w:hAnsi="Times New Roman" w:eastAsia="方正仿宋简体" w:cs="Times New Roman"/>
          <w:b w:val="0"/>
          <w:bCs/>
          <w:color w:val="auto"/>
          <w:szCs w:val="32"/>
          <w:lang w:eastAsia="zh-CN"/>
        </w:rPr>
        <w:t>增加值比上年增长</w:t>
      </w:r>
      <w:r>
        <w:rPr>
          <w:rFonts w:hint="default" w:ascii="Times New Roman" w:hAnsi="Times New Roman" w:eastAsia="方正仿宋简体" w:cs="Times New Roman"/>
          <w:b w:val="0"/>
          <w:bCs/>
          <w:color w:val="auto"/>
          <w:szCs w:val="32"/>
        </w:rPr>
        <w:t>100</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黑色金属冶炼和压延加工业</w:t>
      </w:r>
      <w:r>
        <w:rPr>
          <w:rFonts w:hint="default" w:ascii="Times New Roman" w:hAnsi="Times New Roman" w:eastAsia="方正仿宋简体" w:cs="Times New Roman"/>
          <w:b w:val="0"/>
          <w:bCs/>
          <w:color w:val="auto"/>
          <w:szCs w:val="32"/>
          <w:lang w:eastAsia="zh-CN"/>
        </w:rPr>
        <w:t>增加值比上年增长</w:t>
      </w:r>
      <w:r>
        <w:rPr>
          <w:rFonts w:hint="default" w:ascii="Times New Roman" w:hAnsi="Times New Roman" w:eastAsia="方正仿宋简体" w:cs="Times New Roman"/>
          <w:b w:val="0"/>
          <w:bCs/>
          <w:color w:val="auto"/>
          <w:szCs w:val="32"/>
        </w:rPr>
        <w:t>35.7</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电气机械和器材制造业</w:t>
      </w:r>
      <w:r>
        <w:rPr>
          <w:rFonts w:hint="default" w:ascii="Times New Roman" w:hAnsi="Times New Roman" w:eastAsia="方正仿宋简体" w:cs="Times New Roman"/>
          <w:b w:val="0"/>
          <w:bCs/>
          <w:color w:val="auto"/>
          <w:szCs w:val="32"/>
          <w:lang w:eastAsia="zh-CN"/>
        </w:rPr>
        <w:t>增加值比上年增长</w:t>
      </w:r>
      <w:r>
        <w:rPr>
          <w:rFonts w:hint="default" w:ascii="Times New Roman" w:hAnsi="Times New Roman" w:eastAsia="方正仿宋简体" w:cs="Times New Roman"/>
          <w:b w:val="0"/>
          <w:bCs/>
          <w:color w:val="auto"/>
          <w:szCs w:val="32"/>
        </w:rPr>
        <w:t>6.8</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农副食品加工业</w:t>
      </w:r>
      <w:r>
        <w:rPr>
          <w:rFonts w:hint="default" w:ascii="Times New Roman" w:hAnsi="Times New Roman" w:eastAsia="方正仿宋简体" w:cs="Times New Roman"/>
          <w:b w:val="0"/>
          <w:bCs/>
          <w:color w:val="auto"/>
          <w:szCs w:val="32"/>
          <w:lang w:eastAsia="zh-CN"/>
        </w:rPr>
        <w:t>增加值比上年增长</w:t>
      </w:r>
      <w:r>
        <w:rPr>
          <w:rFonts w:hint="default" w:ascii="Times New Roman" w:hAnsi="Times New Roman" w:eastAsia="方正仿宋简体" w:cs="Times New Roman"/>
          <w:b w:val="0"/>
          <w:bCs/>
          <w:color w:val="auto"/>
          <w:szCs w:val="32"/>
        </w:rPr>
        <w:t xml:space="preserve">4.0 </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医药制造业</w:t>
      </w:r>
      <w:r>
        <w:rPr>
          <w:rFonts w:hint="default" w:ascii="Times New Roman" w:hAnsi="Times New Roman" w:eastAsia="方正仿宋简体" w:cs="Times New Roman"/>
          <w:b w:val="0"/>
          <w:bCs/>
          <w:color w:val="auto"/>
          <w:szCs w:val="32"/>
          <w:lang w:eastAsia="zh-CN"/>
        </w:rPr>
        <w:t>增加值比上年增长</w:t>
      </w:r>
      <w:r>
        <w:rPr>
          <w:rFonts w:hint="default" w:ascii="Times New Roman" w:hAnsi="Times New Roman" w:eastAsia="方正仿宋简体" w:cs="Times New Roman"/>
          <w:b w:val="0"/>
          <w:bCs/>
          <w:color w:val="auto"/>
          <w:szCs w:val="32"/>
        </w:rPr>
        <w:t>2.3</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金属制品业增加值</w:t>
      </w:r>
      <w:r>
        <w:rPr>
          <w:rFonts w:hint="default" w:ascii="Times New Roman" w:hAnsi="Times New Roman" w:eastAsia="方正仿宋简体" w:cs="Times New Roman"/>
          <w:b w:val="0"/>
          <w:bCs/>
          <w:color w:val="auto"/>
          <w:szCs w:val="32"/>
          <w:lang w:eastAsia="zh-CN"/>
        </w:rPr>
        <w:t>比上年</w:t>
      </w:r>
      <w:r>
        <w:rPr>
          <w:rFonts w:hint="default" w:ascii="Times New Roman" w:hAnsi="Times New Roman" w:eastAsia="方正仿宋简体" w:cs="Times New Roman"/>
          <w:b w:val="0"/>
          <w:bCs/>
          <w:color w:val="auto"/>
          <w:szCs w:val="32"/>
        </w:rPr>
        <w:t>下降4.7</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非金属矿物制品业增加值</w:t>
      </w:r>
      <w:r>
        <w:rPr>
          <w:rFonts w:hint="default" w:ascii="Times New Roman" w:hAnsi="Times New Roman" w:eastAsia="方正仿宋简体" w:cs="Times New Roman"/>
          <w:b w:val="0"/>
          <w:bCs/>
          <w:color w:val="auto"/>
          <w:szCs w:val="32"/>
          <w:lang w:eastAsia="zh-CN"/>
        </w:rPr>
        <w:t>比上年</w:t>
      </w:r>
      <w:r>
        <w:rPr>
          <w:rFonts w:hint="default" w:ascii="Times New Roman" w:hAnsi="Times New Roman" w:eastAsia="方正仿宋简体" w:cs="Times New Roman"/>
          <w:b w:val="0"/>
          <w:bCs/>
          <w:color w:val="auto"/>
          <w:szCs w:val="32"/>
        </w:rPr>
        <w:t>下降7.0</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化学原料和化学制品制造业增加值</w:t>
      </w:r>
      <w:r>
        <w:rPr>
          <w:rFonts w:hint="default" w:ascii="Times New Roman" w:hAnsi="Times New Roman" w:eastAsia="方正仿宋简体" w:cs="Times New Roman"/>
          <w:b w:val="0"/>
          <w:bCs/>
          <w:color w:val="auto"/>
          <w:szCs w:val="32"/>
          <w:lang w:eastAsia="zh-CN"/>
        </w:rPr>
        <w:t>比上年</w:t>
      </w:r>
      <w:r>
        <w:rPr>
          <w:rFonts w:hint="default" w:ascii="Times New Roman" w:hAnsi="Times New Roman" w:eastAsia="方正仿宋简体" w:cs="Times New Roman"/>
          <w:b w:val="0"/>
          <w:bCs/>
          <w:color w:val="auto"/>
          <w:szCs w:val="32"/>
        </w:rPr>
        <w:t>下降7.1</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木材加工和木、竹、藤、棕、草制品业增加值</w:t>
      </w:r>
      <w:r>
        <w:rPr>
          <w:rFonts w:hint="default" w:ascii="Times New Roman" w:hAnsi="Times New Roman" w:eastAsia="方正仿宋简体" w:cs="Times New Roman"/>
          <w:b w:val="0"/>
          <w:bCs/>
          <w:color w:val="auto"/>
          <w:szCs w:val="32"/>
          <w:lang w:eastAsia="zh-CN"/>
        </w:rPr>
        <w:t>比上年</w:t>
      </w:r>
      <w:r>
        <w:rPr>
          <w:rFonts w:hint="default" w:ascii="Times New Roman" w:hAnsi="Times New Roman" w:eastAsia="方正仿宋简体" w:cs="Times New Roman"/>
          <w:b w:val="0"/>
          <w:bCs/>
          <w:color w:val="auto"/>
          <w:szCs w:val="32"/>
        </w:rPr>
        <w:t>下降8.4</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橡胶和塑料制品业增加值</w:t>
      </w:r>
      <w:r>
        <w:rPr>
          <w:rFonts w:hint="default" w:ascii="Times New Roman" w:hAnsi="Times New Roman" w:eastAsia="方正仿宋简体" w:cs="Times New Roman"/>
          <w:b w:val="0"/>
          <w:bCs/>
          <w:color w:val="auto"/>
          <w:szCs w:val="32"/>
          <w:lang w:eastAsia="zh-CN"/>
        </w:rPr>
        <w:t>比上年</w:t>
      </w:r>
      <w:r>
        <w:rPr>
          <w:rFonts w:hint="default" w:ascii="Times New Roman" w:hAnsi="Times New Roman" w:eastAsia="方正仿宋简体" w:cs="Times New Roman"/>
          <w:b w:val="0"/>
          <w:bCs/>
          <w:color w:val="auto"/>
          <w:szCs w:val="32"/>
        </w:rPr>
        <w:t>下降10.4</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文教、工美、体育和娱乐用品制造业增加值</w:t>
      </w:r>
      <w:r>
        <w:rPr>
          <w:rFonts w:hint="default" w:ascii="Times New Roman" w:hAnsi="Times New Roman" w:eastAsia="方正仿宋简体" w:cs="Times New Roman"/>
          <w:b w:val="0"/>
          <w:bCs/>
          <w:color w:val="auto"/>
          <w:szCs w:val="32"/>
          <w:lang w:eastAsia="zh-CN"/>
        </w:rPr>
        <w:t>比上年</w:t>
      </w:r>
      <w:r>
        <w:rPr>
          <w:rFonts w:hint="default" w:ascii="Times New Roman" w:hAnsi="Times New Roman" w:eastAsia="方正仿宋简体" w:cs="Times New Roman"/>
          <w:b w:val="0"/>
          <w:bCs/>
          <w:color w:val="auto"/>
          <w:szCs w:val="32"/>
        </w:rPr>
        <w:t>下降16.5</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纺织业增加值下降23.0</w:t>
      </w:r>
      <w:r>
        <w:rPr>
          <w:rFonts w:hint="default" w:ascii="Times New Roman" w:hAnsi="Times New Roman" w:eastAsia="方正仿宋简体" w:cs="Times New Roman"/>
          <w:b w:val="0"/>
          <w:bCs/>
          <w:color w:val="auto"/>
          <w:szCs w:val="32"/>
          <w:lang w:val="en-US" w:eastAsia="zh-CN"/>
        </w:rPr>
        <w:t>%；</w:t>
      </w:r>
      <w:r>
        <w:rPr>
          <w:rFonts w:hint="default" w:ascii="Times New Roman" w:hAnsi="Times New Roman" w:eastAsia="方正仿宋简体" w:cs="Times New Roman"/>
          <w:b w:val="0"/>
          <w:bCs/>
          <w:color w:val="auto"/>
          <w:szCs w:val="32"/>
        </w:rPr>
        <w:t>通用设备制造业增加值</w:t>
      </w:r>
      <w:r>
        <w:rPr>
          <w:rFonts w:hint="default" w:ascii="Times New Roman" w:hAnsi="Times New Roman" w:eastAsia="方正仿宋简体" w:cs="Times New Roman"/>
          <w:b w:val="0"/>
          <w:bCs/>
          <w:color w:val="auto"/>
          <w:szCs w:val="32"/>
          <w:lang w:eastAsia="zh-CN"/>
        </w:rPr>
        <w:t>比上年</w:t>
      </w:r>
      <w:r>
        <w:rPr>
          <w:rFonts w:hint="default" w:ascii="Times New Roman" w:hAnsi="Times New Roman" w:eastAsia="方正仿宋简体" w:cs="Times New Roman"/>
          <w:b w:val="0"/>
          <w:bCs/>
          <w:color w:val="auto"/>
          <w:szCs w:val="32"/>
        </w:rPr>
        <w:t>下降25.0</w:t>
      </w:r>
      <w:r>
        <w:rPr>
          <w:rFonts w:hint="default" w:ascii="Times New Roman" w:hAnsi="Times New Roman" w:eastAsia="方正仿宋简体" w:cs="Times New Roman"/>
          <w:b w:val="0"/>
          <w:bCs/>
          <w:color w:val="auto"/>
          <w:szCs w:val="32"/>
          <w:lang w:eastAsia="zh-CN"/>
        </w:rPr>
        <w:t>。</w:t>
      </w:r>
    </w:p>
    <w:p>
      <w:pPr>
        <w:jc w:val="center"/>
      </w:pPr>
      <w:r>
        <w:drawing>
          <wp:anchor distT="0" distB="0" distL="114300" distR="114300" simplePos="0" relativeHeight="251663360" behindDoc="0" locked="0" layoutInCell="1" allowOverlap="1">
            <wp:simplePos x="0" y="0"/>
            <wp:positionH relativeFrom="column">
              <wp:posOffset>48895</wp:posOffset>
            </wp:positionH>
            <wp:positionV relativeFrom="paragraph">
              <wp:posOffset>185420</wp:posOffset>
            </wp:positionV>
            <wp:extent cx="5560695" cy="3277235"/>
            <wp:effectExtent l="4445" t="4445" r="16510" b="13970"/>
            <wp:wrapNone/>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firstLine="640" w:firstLineChars="200"/>
        <w:rPr>
          <w:rFonts w:eastAsia="方正仿宋简体"/>
          <w:sz w:val="32"/>
          <w:szCs w:val="32"/>
        </w:rPr>
      </w:pPr>
    </w:p>
    <w:p>
      <w:pPr>
        <w:spacing w:line="620" w:lineRule="exact"/>
        <w:ind w:left="638" w:leftChars="304"/>
        <w:rPr>
          <w:rFonts w:eastAsia="方正仿宋简体"/>
          <w:bCs/>
          <w:sz w:val="32"/>
          <w:szCs w:val="32"/>
        </w:rPr>
      </w:pPr>
      <w:r>
        <w:rPr>
          <w:rFonts w:eastAsia="方正仿宋简体"/>
          <w:bCs/>
          <w:sz w:val="32"/>
          <w:szCs w:val="32"/>
        </w:rPr>
        <w:pict>
          <v:shape id="_x0000_s1034" o:spid="_x0000_s1034" o:spt="75" type="#_x0000_t75" style="position:absolute;left:0pt;margin-left:2.75pt;margin-top:13.9pt;height:261.75pt;width:440.25pt;z-index:251664384;mso-width-relative:page;mso-height-relative:page;" o:ole="t" filled="f" o:preferrelative="t" stroked="f" coordsize="21600,21600">
            <v:path/>
            <v:fill on="f" focussize="0,0"/>
            <v:stroke on="f"/>
            <v:imagedata r:id="rId11" o:title=""/>
            <o:lock v:ext="edit" aspectratio="f"/>
          </v:shape>
          <o:OLEObject Type="Embed" ProgID="Office12.Excel.Template" ShapeID="_x0000_s1034" DrawAspect="Content" ObjectID="_1468075725" r:id="rId10">
            <o:LockedField>false</o:LockedField>
          </o:OLEObject>
        </w:pict>
      </w:r>
    </w:p>
    <w:p>
      <w:pPr>
        <w:spacing w:line="620" w:lineRule="exact"/>
        <w:ind w:left="638" w:leftChars="304"/>
        <w:rPr>
          <w:rFonts w:eastAsia="方正仿宋简体"/>
          <w:bCs/>
          <w:sz w:val="32"/>
          <w:szCs w:val="32"/>
        </w:rPr>
      </w:pPr>
    </w:p>
    <w:p>
      <w:pPr>
        <w:spacing w:line="620" w:lineRule="exact"/>
        <w:ind w:left="638" w:leftChars="304"/>
        <w:rPr>
          <w:rFonts w:eastAsia="方正仿宋简体"/>
          <w:bCs/>
          <w:sz w:val="32"/>
          <w:szCs w:val="32"/>
        </w:rPr>
      </w:pPr>
    </w:p>
    <w:p>
      <w:pPr>
        <w:spacing w:line="620" w:lineRule="exact"/>
        <w:ind w:left="638" w:leftChars="304"/>
        <w:rPr>
          <w:rFonts w:eastAsia="方正仿宋简体"/>
          <w:bCs/>
          <w:sz w:val="32"/>
          <w:szCs w:val="32"/>
        </w:rPr>
      </w:pPr>
    </w:p>
    <w:p>
      <w:pPr>
        <w:spacing w:line="620" w:lineRule="exact"/>
        <w:ind w:left="638" w:leftChars="304"/>
        <w:rPr>
          <w:rFonts w:eastAsia="方正仿宋简体"/>
          <w:bCs/>
          <w:sz w:val="32"/>
          <w:szCs w:val="32"/>
        </w:rPr>
      </w:pPr>
    </w:p>
    <w:p>
      <w:pPr>
        <w:spacing w:line="620" w:lineRule="exact"/>
        <w:ind w:left="638" w:leftChars="304"/>
        <w:rPr>
          <w:rFonts w:eastAsia="方正仿宋简体"/>
          <w:bCs/>
          <w:sz w:val="32"/>
          <w:szCs w:val="32"/>
        </w:rPr>
      </w:pPr>
    </w:p>
    <w:p>
      <w:pPr>
        <w:spacing w:line="620" w:lineRule="exact"/>
        <w:ind w:left="638" w:leftChars="304"/>
        <w:rPr>
          <w:rFonts w:eastAsia="方正仿宋简体"/>
          <w:bCs/>
          <w:sz w:val="32"/>
          <w:szCs w:val="32"/>
        </w:rPr>
      </w:pPr>
    </w:p>
    <w:p>
      <w:pPr>
        <w:spacing w:line="620" w:lineRule="exact"/>
        <w:ind w:left="638" w:leftChars="304"/>
        <w:rPr>
          <w:rFonts w:eastAsia="方正仿宋简体"/>
          <w:bCs/>
          <w:sz w:val="32"/>
          <w:szCs w:val="32"/>
        </w:rPr>
      </w:pPr>
    </w:p>
    <w:p>
      <w:pPr>
        <w:spacing w:line="620" w:lineRule="exact"/>
        <w:ind w:left="638" w:leftChars="304"/>
        <w:rPr>
          <w:rFonts w:eastAsia="方正仿宋简体"/>
          <w:bCs/>
          <w:sz w:val="32"/>
          <w:szCs w:val="32"/>
        </w:rPr>
      </w:pPr>
      <w:r>
        <w:rPr>
          <w:rFonts w:hint="eastAsia" w:eastAsia="方正仿宋简体"/>
          <w:bCs/>
          <w:sz w:val="32"/>
          <w:szCs w:val="32"/>
        </w:rPr>
        <w:pict>
          <v:shape id="_x0000_s1035" o:spid="_x0000_s1035" o:spt="75" type="#_x0000_t75" style="position:absolute;left:0pt;margin-left:-0.75pt;margin-top:11.35pt;height:447pt;width:440.25pt;z-index:251664384;mso-width-relative:page;mso-height-relative:page;" o:ole="t" filled="f" o:preferrelative="t" stroked="f" coordsize="21600,21600">
            <v:path/>
            <v:fill on="f" focussize="0,0"/>
            <v:stroke on="f"/>
            <v:imagedata r:id="rId13" o:title=""/>
            <o:lock v:ext="edit" aspectratio="f"/>
          </v:shape>
          <o:OLEObject Type="Embed" ProgID="Office12.Excel.Template" ShapeID="_x0000_s1035" DrawAspect="Content" ObjectID="_1468075726" r:id="rId12">
            <o:LockedField>false</o:LockedField>
          </o:OLEObject>
        </w:pict>
      </w: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tabs>
          <w:tab w:val="left" w:pos="0"/>
          <w:tab w:val="left" w:pos="630"/>
        </w:tabs>
        <w:spacing w:line="620" w:lineRule="exact"/>
        <w:ind w:left="17" w:leftChars="8" w:firstLine="617" w:firstLineChars="193"/>
        <w:rPr>
          <w:rFonts w:hint="eastAsia" w:eastAsia="方正仿宋简体"/>
          <w:bCs/>
          <w:sz w:val="32"/>
          <w:szCs w:val="32"/>
        </w:rPr>
      </w:pPr>
    </w:p>
    <w:p>
      <w:pPr>
        <w:pStyle w:val="2"/>
        <w:rPr>
          <w:rFonts w:hint="eastAsia" w:eastAsia="方正仿宋简体"/>
          <w:bCs/>
          <w:sz w:val="32"/>
          <w:szCs w:val="32"/>
        </w:rPr>
      </w:pPr>
    </w:p>
    <w:p>
      <w:pPr>
        <w:rPr>
          <w:rFonts w:hint="eastAsia" w:eastAsia="方正仿宋简体"/>
          <w:bCs/>
          <w:sz w:val="32"/>
          <w:szCs w:val="32"/>
        </w:rPr>
      </w:pPr>
    </w:p>
    <w:p>
      <w:pPr>
        <w:keepNext w:val="0"/>
        <w:keepLines w:val="0"/>
        <w:pageBreakBefore w:val="0"/>
        <w:widowControl w:val="0"/>
        <w:tabs>
          <w:tab w:val="left" w:pos="0"/>
          <w:tab w:val="left" w:pos="630"/>
        </w:tabs>
        <w:kinsoku/>
        <w:wordWrap/>
        <w:overflowPunct/>
        <w:topLinePunct w:val="0"/>
        <w:autoSpaceDE/>
        <w:autoSpaceDN/>
        <w:bidi w:val="0"/>
        <w:adjustRightInd/>
        <w:snapToGrid/>
        <w:spacing w:line="620" w:lineRule="exact"/>
        <w:ind w:left="17" w:leftChars="8" w:firstLine="617" w:firstLineChars="193"/>
        <w:textAlignment w:val="auto"/>
        <w:rPr>
          <w:rFonts w:eastAsia="方正仿宋简体"/>
          <w:sz w:val="32"/>
          <w:szCs w:val="32"/>
        </w:rPr>
      </w:pPr>
      <w:r>
        <w:rPr>
          <w:rFonts w:hint="eastAsia" w:eastAsia="方正仿宋简体"/>
          <w:bCs/>
          <w:sz w:val="32"/>
          <w:szCs w:val="32"/>
        </w:rPr>
        <w:t>全年规模以上工业企业产品销售率</w:t>
      </w:r>
      <w:r>
        <w:rPr>
          <w:rFonts w:hint="eastAsia" w:eastAsia="方正仿宋简体"/>
          <w:bCs/>
          <w:sz w:val="32"/>
          <w:szCs w:val="32"/>
          <w:lang w:val="en-US" w:eastAsia="zh-CN"/>
        </w:rPr>
        <w:t>98.7</w:t>
      </w:r>
      <w:r>
        <w:rPr>
          <w:rFonts w:hint="eastAsia" w:eastAsia="方正仿宋简体"/>
          <w:bCs/>
          <w:sz w:val="32"/>
          <w:szCs w:val="32"/>
        </w:rPr>
        <w:t>%，比上年增长</w:t>
      </w:r>
      <w:r>
        <w:rPr>
          <w:rFonts w:hint="eastAsia" w:eastAsia="方正仿宋简体"/>
          <w:bCs/>
          <w:color w:val="auto"/>
          <w:sz w:val="32"/>
          <w:szCs w:val="32"/>
          <w:lang w:val="en-US" w:eastAsia="zh-CN"/>
        </w:rPr>
        <w:t>4.77</w:t>
      </w:r>
      <w:r>
        <w:rPr>
          <w:rFonts w:hint="eastAsia" w:eastAsia="方正仿宋简体"/>
          <w:bCs/>
          <w:sz w:val="32"/>
          <w:szCs w:val="32"/>
        </w:rPr>
        <w:t>个百分点。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方正仿宋简体"/>
          <w:bCs/>
          <w:color w:val="auto"/>
          <w:sz w:val="32"/>
          <w:szCs w:val="32"/>
        </w:rPr>
      </w:pPr>
      <w:r>
        <w:rPr>
          <w:rFonts w:hint="eastAsia" w:eastAsia="方正仿宋简体"/>
          <w:color w:val="auto"/>
          <w:sz w:val="32"/>
          <w:szCs w:val="32"/>
        </w:rPr>
        <w:t>全年实现建筑业增加值</w:t>
      </w:r>
      <w:r>
        <w:rPr>
          <w:rFonts w:hint="eastAsia" w:eastAsia="方正仿宋简体"/>
          <w:bCs/>
          <w:color w:val="auto"/>
          <w:sz w:val="32"/>
          <w:szCs w:val="32"/>
          <w:lang w:val="en-US" w:eastAsia="zh-CN"/>
        </w:rPr>
        <w:t>6.52</w:t>
      </w:r>
      <w:r>
        <w:rPr>
          <w:rFonts w:eastAsia="方正仿宋简体"/>
          <w:bCs/>
          <w:color w:val="auto"/>
          <w:sz w:val="32"/>
          <w:szCs w:val="32"/>
        </w:rPr>
        <w:t>亿元，</w:t>
      </w:r>
      <w:r>
        <w:rPr>
          <w:rFonts w:hint="eastAsia" w:eastAsia="方正仿宋简体"/>
          <w:bCs/>
          <w:color w:val="auto"/>
          <w:sz w:val="32"/>
          <w:szCs w:val="32"/>
        </w:rPr>
        <w:t>比上年</w:t>
      </w:r>
      <w:r>
        <w:rPr>
          <w:rFonts w:hint="eastAsia" w:eastAsia="方正仿宋简体"/>
          <w:bCs/>
          <w:color w:val="auto"/>
          <w:sz w:val="32"/>
          <w:szCs w:val="32"/>
          <w:lang w:eastAsia="zh-CN"/>
        </w:rPr>
        <w:t>增长</w:t>
      </w:r>
      <w:r>
        <w:rPr>
          <w:rFonts w:hint="eastAsia" w:eastAsia="方正仿宋简体"/>
          <w:bCs/>
          <w:color w:val="auto"/>
          <w:sz w:val="32"/>
          <w:szCs w:val="32"/>
          <w:lang w:val="en-US" w:eastAsia="zh-CN"/>
        </w:rPr>
        <w:t>23.8</w:t>
      </w:r>
      <w:r>
        <w:rPr>
          <w:rFonts w:eastAsia="方正仿宋简体"/>
          <w:bCs/>
          <w:color w:val="auto"/>
          <w:sz w:val="32"/>
          <w:szCs w:val="32"/>
        </w:rPr>
        <w:t>%</w:t>
      </w:r>
      <w:r>
        <w:rPr>
          <w:rFonts w:hint="eastAsia" w:eastAsia="方正仿宋简体"/>
          <w:bCs/>
          <w:color w:val="auto"/>
          <w:sz w:val="32"/>
          <w:szCs w:val="32"/>
        </w:rPr>
        <w:t>。</w:t>
      </w:r>
    </w:p>
    <w:p>
      <w:pPr>
        <w:pStyle w:val="2"/>
        <w:spacing w:beforeLines="100" w:afterLines="100" w:line="620" w:lineRule="exact"/>
        <w:jc w:val="center"/>
        <w:rPr>
          <w:rFonts w:hint="eastAsia" w:ascii="方正黑体简体" w:hAnsi="方正黑体简体" w:eastAsia="方正黑体简体" w:cs="方正黑体简体"/>
          <w:b w:val="0"/>
          <w:bCs/>
          <w:szCs w:val="32"/>
        </w:rPr>
      </w:pPr>
      <w:r>
        <w:rPr>
          <w:rFonts w:hint="eastAsia" w:ascii="方正黑体简体" w:hAnsi="方正黑体简体" w:eastAsia="方正黑体简体" w:cs="方正黑体简体"/>
          <w:b w:val="0"/>
          <w:bCs/>
          <w:szCs w:val="32"/>
          <w:lang w:eastAsia="zh-CN"/>
        </w:rPr>
        <w:t>四、</w:t>
      </w:r>
      <w:r>
        <w:rPr>
          <w:rFonts w:hint="eastAsia" w:ascii="方正黑体简体" w:hAnsi="方正黑体简体" w:eastAsia="方正黑体简体" w:cs="方正黑体简体"/>
          <w:b w:val="0"/>
          <w:bCs/>
          <w:szCs w:val="32"/>
        </w:rPr>
        <w:t>服务业</w:t>
      </w:r>
    </w:p>
    <w:p>
      <w:pPr>
        <w:spacing w:line="620" w:lineRule="exact"/>
        <w:ind w:firstLine="640" w:firstLineChars="200"/>
        <w:rPr>
          <w:rFonts w:eastAsia="方正仿宋简体"/>
          <w:bCs/>
          <w:color w:val="auto"/>
          <w:sz w:val="32"/>
          <w:szCs w:val="32"/>
        </w:rPr>
      </w:pPr>
      <w:r>
        <w:rPr>
          <w:rFonts w:eastAsia="方正仿宋简体"/>
          <w:bCs/>
          <w:color w:val="auto"/>
          <w:sz w:val="32"/>
          <w:szCs w:val="32"/>
        </w:rPr>
        <w:t>全年批发和零售业增加值</w:t>
      </w:r>
      <w:r>
        <w:rPr>
          <w:rFonts w:hint="eastAsia" w:eastAsia="方正仿宋简体"/>
          <w:bCs/>
          <w:color w:val="auto"/>
          <w:sz w:val="32"/>
          <w:szCs w:val="32"/>
          <w:lang w:val="en-US" w:eastAsia="zh-CN"/>
        </w:rPr>
        <w:t>5.14</w:t>
      </w:r>
      <w:r>
        <w:rPr>
          <w:rFonts w:eastAsia="方正仿宋简体"/>
          <w:bCs/>
          <w:color w:val="auto"/>
          <w:sz w:val="32"/>
          <w:szCs w:val="32"/>
        </w:rPr>
        <w:t>亿元，比上年增长</w:t>
      </w:r>
      <w:r>
        <w:rPr>
          <w:rFonts w:hint="eastAsia" w:eastAsia="方正仿宋简体"/>
          <w:bCs/>
          <w:color w:val="auto"/>
          <w:sz w:val="32"/>
          <w:szCs w:val="32"/>
          <w:lang w:val="en-US" w:eastAsia="zh-CN"/>
        </w:rPr>
        <w:t>13.3</w:t>
      </w:r>
      <w:r>
        <w:rPr>
          <w:rFonts w:eastAsia="方正仿宋简体"/>
          <w:bCs/>
          <w:color w:val="auto"/>
          <w:sz w:val="32"/>
          <w:szCs w:val="32"/>
        </w:rPr>
        <w:t>%；交通运输、仓储和邮政业增加值</w:t>
      </w:r>
      <w:r>
        <w:rPr>
          <w:rFonts w:hint="eastAsia" w:eastAsia="方正仿宋简体"/>
          <w:bCs/>
          <w:color w:val="auto"/>
          <w:sz w:val="32"/>
          <w:szCs w:val="32"/>
          <w:lang w:val="en-US" w:eastAsia="zh-CN"/>
        </w:rPr>
        <w:t>2.02</w:t>
      </w:r>
      <w:r>
        <w:rPr>
          <w:rFonts w:eastAsia="方正仿宋简体"/>
          <w:bCs/>
          <w:color w:val="auto"/>
          <w:sz w:val="32"/>
          <w:szCs w:val="32"/>
        </w:rPr>
        <w:t>亿元，比上年</w:t>
      </w:r>
      <w:r>
        <w:rPr>
          <w:rFonts w:hint="eastAsia" w:eastAsia="方正仿宋简体"/>
          <w:bCs/>
          <w:color w:val="auto"/>
          <w:sz w:val="32"/>
          <w:szCs w:val="32"/>
          <w:lang w:eastAsia="zh-CN"/>
        </w:rPr>
        <w:t>增长</w:t>
      </w:r>
      <w:r>
        <w:rPr>
          <w:rFonts w:hint="eastAsia" w:eastAsia="方正仿宋简体"/>
          <w:bCs/>
          <w:color w:val="auto"/>
          <w:sz w:val="32"/>
          <w:szCs w:val="32"/>
          <w:lang w:val="en-US" w:eastAsia="zh-CN"/>
        </w:rPr>
        <w:t>18.8</w:t>
      </w:r>
      <w:r>
        <w:rPr>
          <w:rFonts w:eastAsia="方正仿宋简体"/>
          <w:bCs/>
          <w:color w:val="auto"/>
          <w:sz w:val="32"/>
          <w:szCs w:val="32"/>
        </w:rPr>
        <w:t>%；</w:t>
      </w:r>
      <w:r>
        <w:rPr>
          <w:rFonts w:hint="eastAsia" w:eastAsia="方正仿宋简体"/>
          <w:bCs/>
          <w:color w:val="auto"/>
          <w:sz w:val="32"/>
          <w:szCs w:val="32"/>
        </w:rPr>
        <w:t>住宿和餐饮业增加值</w:t>
      </w:r>
      <w:r>
        <w:rPr>
          <w:rFonts w:hint="eastAsia" w:eastAsia="方正仿宋简体"/>
          <w:bCs/>
          <w:color w:val="auto"/>
          <w:sz w:val="32"/>
          <w:szCs w:val="32"/>
          <w:lang w:val="en-US" w:eastAsia="zh-CN"/>
        </w:rPr>
        <w:t>0.89</w:t>
      </w:r>
      <w:r>
        <w:rPr>
          <w:rFonts w:hint="eastAsia" w:eastAsia="方正仿宋简体"/>
          <w:bCs/>
          <w:color w:val="auto"/>
          <w:sz w:val="32"/>
          <w:szCs w:val="32"/>
        </w:rPr>
        <w:t>亿元，</w:t>
      </w:r>
      <w:r>
        <w:rPr>
          <w:rFonts w:eastAsia="方正仿宋简体"/>
          <w:bCs/>
          <w:color w:val="auto"/>
          <w:sz w:val="32"/>
          <w:szCs w:val="32"/>
        </w:rPr>
        <w:t>比上年</w:t>
      </w:r>
      <w:r>
        <w:rPr>
          <w:rFonts w:hint="eastAsia" w:eastAsia="方正仿宋简体"/>
          <w:bCs/>
          <w:color w:val="auto"/>
          <w:sz w:val="32"/>
          <w:szCs w:val="32"/>
          <w:lang w:eastAsia="zh-CN"/>
        </w:rPr>
        <w:t>下降</w:t>
      </w:r>
      <w:r>
        <w:rPr>
          <w:rFonts w:hint="eastAsia" w:eastAsia="方正仿宋简体"/>
          <w:bCs/>
          <w:color w:val="auto"/>
          <w:sz w:val="32"/>
          <w:szCs w:val="32"/>
          <w:lang w:val="en-US" w:eastAsia="zh-CN"/>
        </w:rPr>
        <w:t>1.3</w:t>
      </w:r>
      <w:r>
        <w:rPr>
          <w:rFonts w:hint="eastAsia" w:eastAsia="方正仿宋简体"/>
          <w:bCs/>
          <w:color w:val="auto"/>
          <w:sz w:val="32"/>
          <w:szCs w:val="32"/>
        </w:rPr>
        <w:t>%；金融业增加值</w:t>
      </w:r>
      <w:r>
        <w:rPr>
          <w:rFonts w:hint="eastAsia" w:eastAsia="方正仿宋简体"/>
          <w:bCs/>
          <w:color w:val="auto"/>
          <w:sz w:val="32"/>
          <w:szCs w:val="32"/>
          <w:lang w:val="en-US" w:eastAsia="zh-CN"/>
        </w:rPr>
        <w:t>2.01</w:t>
      </w:r>
      <w:r>
        <w:rPr>
          <w:rFonts w:hint="eastAsia" w:eastAsia="方正仿宋简体"/>
          <w:bCs/>
          <w:color w:val="auto"/>
          <w:sz w:val="32"/>
          <w:szCs w:val="32"/>
        </w:rPr>
        <w:t>亿元，</w:t>
      </w:r>
      <w:r>
        <w:rPr>
          <w:rFonts w:eastAsia="方正仿宋简体"/>
          <w:bCs/>
          <w:color w:val="auto"/>
          <w:sz w:val="32"/>
          <w:szCs w:val="32"/>
        </w:rPr>
        <w:t>比上年</w:t>
      </w:r>
      <w:r>
        <w:rPr>
          <w:rFonts w:hint="eastAsia" w:eastAsia="方正仿宋简体"/>
          <w:bCs/>
          <w:color w:val="auto"/>
          <w:sz w:val="32"/>
          <w:szCs w:val="32"/>
        </w:rPr>
        <w:t>增长</w:t>
      </w:r>
      <w:r>
        <w:rPr>
          <w:rFonts w:hint="eastAsia" w:eastAsia="方正仿宋简体"/>
          <w:bCs/>
          <w:color w:val="auto"/>
          <w:sz w:val="32"/>
          <w:szCs w:val="32"/>
          <w:lang w:val="en-US" w:eastAsia="zh-CN"/>
        </w:rPr>
        <w:t>1.8</w:t>
      </w:r>
      <w:r>
        <w:rPr>
          <w:rFonts w:hint="eastAsia" w:eastAsia="方正仿宋简体"/>
          <w:bCs/>
          <w:color w:val="auto"/>
          <w:sz w:val="32"/>
          <w:szCs w:val="32"/>
        </w:rPr>
        <w:t>%；</w:t>
      </w:r>
      <w:r>
        <w:rPr>
          <w:rFonts w:hint="eastAsia" w:eastAsia="方正仿宋简体"/>
          <w:bCs/>
          <w:color w:val="auto"/>
          <w:sz w:val="32"/>
          <w:szCs w:val="32"/>
          <w:lang w:eastAsia="zh-CN"/>
        </w:rPr>
        <w:t>营利性服务业增加值</w:t>
      </w:r>
      <w:r>
        <w:rPr>
          <w:rFonts w:hint="eastAsia" w:eastAsia="方正仿宋简体"/>
          <w:bCs/>
          <w:color w:val="auto"/>
          <w:sz w:val="32"/>
          <w:szCs w:val="32"/>
          <w:lang w:val="en-US" w:eastAsia="zh-CN"/>
        </w:rPr>
        <w:t>3.87亿元，比上年下降1.5%；非营利性</w:t>
      </w:r>
      <w:r>
        <w:rPr>
          <w:rFonts w:hint="eastAsia" w:eastAsia="方正仿宋简体"/>
          <w:bCs/>
          <w:color w:val="auto"/>
          <w:sz w:val="32"/>
          <w:szCs w:val="32"/>
        </w:rPr>
        <w:t>服务业增加值</w:t>
      </w:r>
      <w:r>
        <w:rPr>
          <w:rFonts w:hint="eastAsia" w:eastAsia="方正仿宋简体"/>
          <w:bCs/>
          <w:color w:val="auto"/>
          <w:sz w:val="32"/>
          <w:szCs w:val="32"/>
          <w:lang w:val="en-US" w:eastAsia="zh-CN"/>
        </w:rPr>
        <w:t>27.95</w:t>
      </w:r>
      <w:r>
        <w:rPr>
          <w:rFonts w:hint="eastAsia" w:eastAsia="方正仿宋简体"/>
          <w:bCs/>
          <w:color w:val="auto"/>
          <w:sz w:val="32"/>
          <w:szCs w:val="32"/>
        </w:rPr>
        <w:t>亿元，</w:t>
      </w:r>
      <w:r>
        <w:rPr>
          <w:rFonts w:eastAsia="方正仿宋简体"/>
          <w:bCs/>
          <w:color w:val="auto"/>
          <w:sz w:val="32"/>
          <w:szCs w:val="32"/>
        </w:rPr>
        <w:t>比上年</w:t>
      </w:r>
      <w:r>
        <w:rPr>
          <w:rFonts w:hint="eastAsia" w:eastAsia="方正仿宋简体"/>
          <w:bCs/>
          <w:color w:val="auto"/>
          <w:sz w:val="32"/>
          <w:szCs w:val="32"/>
        </w:rPr>
        <w:t>增长</w:t>
      </w:r>
      <w:r>
        <w:rPr>
          <w:rFonts w:hint="eastAsia" w:eastAsia="方正仿宋简体"/>
          <w:bCs/>
          <w:color w:val="auto"/>
          <w:sz w:val="32"/>
          <w:szCs w:val="32"/>
          <w:lang w:val="en-US" w:eastAsia="zh-CN"/>
        </w:rPr>
        <w:t>5</w:t>
      </w:r>
      <w:r>
        <w:rPr>
          <w:rFonts w:hint="eastAsia" w:eastAsia="方正仿宋简体"/>
          <w:bCs/>
          <w:color w:val="auto"/>
          <w:sz w:val="32"/>
          <w:szCs w:val="32"/>
        </w:rPr>
        <w:t>%。全年规模以上服务业企业实现营业收入</w:t>
      </w:r>
      <w:r>
        <w:rPr>
          <w:rFonts w:hint="eastAsia" w:eastAsia="方正仿宋简体"/>
          <w:bCs/>
          <w:color w:val="auto"/>
          <w:sz w:val="32"/>
          <w:szCs w:val="32"/>
          <w:lang w:val="en-US" w:eastAsia="zh-CN"/>
        </w:rPr>
        <w:t>2.55</w:t>
      </w:r>
      <w:r>
        <w:rPr>
          <w:rFonts w:hint="eastAsia" w:eastAsia="方正仿宋简体"/>
          <w:bCs/>
          <w:color w:val="auto"/>
          <w:sz w:val="32"/>
          <w:szCs w:val="32"/>
        </w:rPr>
        <w:t>亿元，比上年</w:t>
      </w:r>
      <w:r>
        <w:rPr>
          <w:rFonts w:hint="eastAsia" w:eastAsia="方正仿宋简体"/>
          <w:bCs/>
          <w:color w:val="auto"/>
          <w:sz w:val="32"/>
          <w:szCs w:val="32"/>
          <w:lang w:eastAsia="zh-CN"/>
        </w:rPr>
        <w:t>下降</w:t>
      </w:r>
      <w:r>
        <w:rPr>
          <w:rFonts w:hint="eastAsia" w:eastAsia="方正仿宋简体"/>
          <w:bCs/>
          <w:color w:val="auto"/>
          <w:sz w:val="32"/>
          <w:szCs w:val="32"/>
          <w:lang w:val="en-US" w:eastAsia="zh-CN"/>
        </w:rPr>
        <w:t>15.7</w:t>
      </w:r>
      <w:r>
        <w:rPr>
          <w:rFonts w:hint="eastAsia" w:eastAsia="方正仿宋简体"/>
          <w:bCs/>
          <w:color w:val="auto"/>
          <w:sz w:val="32"/>
          <w:szCs w:val="32"/>
        </w:rPr>
        <w:t>%；营业利润</w:t>
      </w:r>
      <w:r>
        <w:rPr>
          <w:rFonts w:hint="eastAsia" w:eastAsia="方正仿宋简体"/>
          <w:bCs/>
          <w:color w:val="auto"/>
          <w:sz w:val="32"/>
          <w:szCs w:val="32"/>
          <w:lang w:val="en-US" w:eastAsia="zh-CN"/>
        </w:rPr>
        <w:t>855</w:t>
      </w:r>
      <w:r>
        <w:rPr>
          <w:rFonts w:hint="eastAsia" w:eastAsia="方正仿宋简体"/>
          <w:bCs/>
          <w:color w:val="auto"/>
          <w:sz w:val="32"/>
          <w:szCs w:val="32"/>
        </w:rPr>
        <w:t>万元，</w:t>
      </w:r>
      <w:r>
        <w:rPr>
          <w:rFonts w:eastAsia="方正仿宋简体"/>
          <w:bCs/>
          <w:color w:val="auto"/>
          <w:sz w:val="32"/>
          <w:szCs w:val="32"/>
        </w:rPr>
        <w:t>比上年</w:t>
      </w:r>
      <w:r>
        <w:rPr>
          <w:rFonts w:hint="eastAsia" w:eastAsia="方正仿宋简体"/>
          <w:bCs/>
          <w:color w:val="auto"/>
          <w:sz w:val="32"/>
          <w:szCs w:val="32"/>
        </w:rPr>
        <w:t>增长</w:t>
      </w:r>
      <w:r>
        <w:rPr>
          <w:rFonts w:hint="eastAsia" w:eastAsia="方正仿宋简体"/>
          <w:bCs/>
          <w:color w:val="auto"/>
          <w:sz w:val="32"/>
          <w:szCs w:val="32"/>
          <w:lang w:val="en-US" w:eastAsia="zh-CN"/>
        </w:rPr>
        <w:t>239.6</w:t>
      </w:r>
      <w:r>
        <w:rPr>
          <w:rFonts w:hint="eastAsia" w:eastAsia="方正仿宋简体"/>
          <w:bCs/>
          <w:color w:val="auto"/>
          <w:sz w:val="32"/>
          <w:szCs w:val="32"/>
        </w:rPr>
        <w:t>%。</w:t>
      </w:r>
    </w:p>
    <w:p>
      <w:pPr>
        <w:spacing w:line="620" w:lineRule="exact"/>
        <w:ind w:firstLine="640" w:firstLineChars="200"/>
        <w:rPr>
          <w:rFonts w:eastAsia="方正仿宋简体"/>
          <w:sz w:val="32"/>
          <w:szCs w:val="32"/>
        </w:rPr>
      </w:pPr>
      <w:r>
        <w:rPr>
          <w:rFonts w:hint="eastAsia" w:eastAsia="方正仿宋简体"/>
          <w:bCs/>
          <w:sz w:val="32"/>
          <w:szCs w:val="32"/>
        </w:rPr>
        <w:t>全年</w:t>
      </w:r>
      <w:r>
        <w:rPr>
          <w:rFonts w:eastAsia="方正仿宋简体"/>
          <w:sz w:val="32"/>
          <w:szCs w:val="32"/>
        </w:rPr>
        <w:t>铁路货运量</w:t>
      </w:r>
      <w:r>
        <w:rPr>
          <w:rFonts w:hint="eastAsia" w:eastAsia="方正仿宋简体"/>
          <w:sz w:val="32"/>
          <w:szCs w:val="32"/>
          <w:lang w:val="en-US" w:eastAsia="zh-CN"/>
        </w:rPr>
        <w:t>198.31</w:t>
      </w:r>
      <w:r>
        <w:rPr>
          <w:rFonts w:eastAsia="方正仿宋简体"/>
          <w:sz w:val="32"/>
          <w:szCs w:val="32"/>
        </w:rPr>
        <w:t>万吨，</w:t>
      </w:r>
      <w:r>
        <w:rPr>
          <w:rFonts w:hint="eastAsia" w:eastAsia="方正仿宋简体"/>
          <w:sz w:val="32"/>
          <w:szCs w:val="32"/>
        </w:rPr>
        <w:t>比上年增长</w:t>
      </w:r>
      <w:r>
        <w:rPr>
          <w:rFonts w:hint="eastAsia" w:eastAsia="方正仿宋简体"/>
          <w:sz w:val="32"/>
          <w:szCs w:val="32"/>
          <w:lang w:val="en-US" w:eastAsia="zh-CN"/>
        </w:rPr>
        <w:t>17.5</w:t>
      </w:r>
      <w:r>
        <w:rPr>
          <w:rFonts w:eastAsia="方正仿宋简体"/>
          <w:sz w:val="32"/>
          <w:szCs w:val="32"/>
        </w:rPr>
        <w:t>%。</w:t>
      </w:r>
    </w:p>
    <w:p>
      <w:pPr>
        <w:pStyle w:val="2"/>
        <w:spacing w:beforeLines="100" w:afterLines="100" w:line="620" w:lineRule="exact"/>
        <w:jc w:val="center"/>
        <w:rPr>
          <w:b w:val="0"/>
          <w:bCs/>
        </w:rPr>
      </w:pPr>
      <w:r>
        <w:rPr>
          <w:rFonts w:hint="eastAsia" w:ascii="方正黑体简体" w:hAnsi="方正黑体简体" w:eastAsia="方正黑体简体" w:cs="方正黑体简体"/>
          <w:b w:val="0"/>
          <w:bCs/>
          <w:szCs w:val="32"/>
        </w:rPr>
        <w:t>五、固定资产</w:t>
      </w:r>
    </w:p>
    <w:p>
      <w:pPr>
        <w:pStyle w:val="3"/>
        <w:keepNext w:val="0"/>
        <w:keepLines w:val="0"/>
        <w:spacing w:before="0" w:after="0" w:line="620" w:lineRule="exact"/>
        <w:ind w:firstLine="640" w:firstLineChars="200"/>
        <w:rPr>
          <w:rFonts w:hint="default" w:eastAsia="方正仿宋简体"/>
          <w:b w:val="0"/>
          <w:szCs w:val="32"/>
          <w:lang w:val="en-US" w:eastAsia="zh-CN"/>
        </w:rPr>
      </w:pPr>
      <w:r>
        <w:rPr>
          <w:rFonts w:hint="eastAsia" w:eastAsia="方正仿宋简体"/>
          <w:b w:val="0"/>
          <w:bCs/>
          <w:szCs w:val="32"/>
        </w:rPr>
        <w:t>全年</w:t>
      </w:r>
      <w:r>
        <w:rPr>
          <w:rFonts w:eastAsia="方正仿宋简体"/>
          <w:b w:val="0"/>
          <w:bCs/>
          <w:spacing w:val="-17"/>
          <w:szCs w:val="32"/>
        </w:rPr>
        <w:t>固定资产投资（不含农户）</w:t>
      </w:r>
      <w:r>
        <w:rPr>
          <w:rFonts w:hint="eastAsia" w:eastAsia="方正仿宋简体"/>
          <w:b w:val="0"/>
          <w:bCs/>
          <w:spacing w:val="-17"/>
          <w:szCs w:val="32"/>
          <w:lang w:val="en-US" w:eastAsia="zh-CN"/>
        </w:rPr>
        <w:t>52.02</w:t>
      </w:r>
      <w:r>
        <w:rPr>
          <w:rFonts w:eastAsia="方正仿宋简体"/>
          <w:b w:val="0"/>
          <w:bCs/>
          <w:spacing w:val="-17"/>
          <w:szCs w:val="32"/>
        </w:rPr>
        <w:t>亿元，</w:t>
      </w:r>
      <w:r>
        <w:rPr>
          <w:rFonts w:hint="eastAsia" w:eastAsia="方正仿宋简体"/>
          <w:b w:val="0"/>
          <w:bCs/>
          <w:spacing w:val="-17"/>
          <w:szCs w:val="32"/>
        </w:rPr>
        <w:t>比上年</w:t>
      </w:r>
      <w:r>
        <w:rPr>
          <w:rFonts w:eastAsia="方正仿宋简体"/>
          <w:b w:val="0"/>
          <w:bCs/>
          <w:spacing w:val="-17"/>
          <w:szCs w:val="32"/>
        </w:rPr>
        <w:t>增长</w:t>
      </w:r>
      <w:r>
        <w:rPr>
          <w:rFonts w:hint="eastAsia" w:eastAsia="方正仿宋简体"/>
          <w:b w:val="0"/>
          <w:bCs/>
          <w:color w:val="auto"/>
          <w:spacing w:val="-17"/>
          <w:szCs w:val="32"/>
          <w:lang w:val="en-US" w:eastAsia="zh-CN"/>
        </w:rPr>
        <w:t>18.2</w:t>
      </w:r>
      <w:r>
        <w:rPr>
          <w:rFonts w:eastAsia="方正仿宋简体"/>
          <w:b w:val="0"/>
          <w:bCs/>
          <w:color w:val="auto"/>
          <w:spacing w:val="-17"/>
          <w:szCs w:val="32"/>
        </w:rPr>
        <w:t>%</w:t>
      </w:r>
      <w:r>
        <w:rPr>
          <w:rFonts w:eastAsia="方正仿宋简体"/>
          <w:b w:val="0"/>
          <w:bCs/>
          <w:spacing w:val="-17"/>
          <w:szCs w:val="32"/>
        </w:rPr>
        <w:t>。</w:t>
      </w:r>
      <w:r>
        <w:rPr>
          <w:rFonts w:hint="eastAsia" w:eastAsia="方正仿宋简体"/>
          <w:b w:val="0"/>
          <w:bCs/>
          <w:spacing w:val="-17"/>
          <w:szCs w:val="32"/>
        </w:rPr>
        <w:t>其中：第</w:t>
      </w:r>
      <w:r>
        <w:rPr>
          <w:rFonts w:hint="eastAsia" w:eastAsia="方正仿宋简体"/>
          <w:b w:val="0"/>
          <w:szCs w:val="32"/>
        </w:rPr>
        <w:t>一产业投资</w:t>
      </w:r>
      <w:r>
        <w:rPr>
          <w:rFonts w:hint="eastAsia" w:eastAsia="方正仿宋简体"/>
          <w:b w:val="0"/>
          <w:szCs w:val="32"/>
          <w:lang w:val="en-US" w:eastAsia="zh-CN"/>
        </w:rPr>
        <w:t>4.56</w:t>
      </w:r>
      <w:r>
        <w:rPr>
          <w:rFonts w:hint="eastAsia" w:eastAsia="方正仿宋简体"/>
          <w:b w:val="0"/>
          <w:szCs w:val="32"/>
        </w:rPr>
        <w:t>亿元，</w:t>
      </w:r>
      <w:r>
        <w:rPr>
          <w:rFonts w:eastAsia="方正仿宋简体"/>
          <w:b w:val="0"/>
          <w:bCs w:val="0"/>
          <w:color w:val="auto"/>
          <w:sz w:val="32"/>
          <w:szCs w:val="32"/>
        </w:rPr>
        <w:t>比上年</w:t>
      </w:r>
      <w:r>
        <w:rPr>
          <w:rFonts w:hint="eastAsia" w:eastAsia="方正仿宋简体"/>
          <w:b w:val="0"/>
          <w:szCs w:val="32"/>
        </w:rPr>
        <w:t>下降</w:t>
      </w:r>
      <w:r>
        <w:rPr>
          <w:rFonts w:hint="eastAsia" w:eastAsia="方正仿宋简体"/>
          <w:b w:val="0"/>
          <w:szCs w:val="32"/>
          <w:lang w:val="en-US" w:eastAsia="zh-CN"/>
        </w:rPr>
        <w:t>14.8</w:t>
      </w:r>
      <w:r>
        <w:rPr>
          <w:rFonts w:hint="eastAsia" w:eastAsia="方正仿宋简体"/>
          <w:b w:val="0"/>
          <w:szCs w:val="32"/>
        </w:rPr>
        <w:t>%；第二产业投资</w:t>
      </w:r>
      <w:r>
        <w:rPr>
          <w:rFonts w:hint="eastAsia" w:eastAsia="方正仿宋简体"/>
          <w:b w:val="0"/>
          <w:szCs w:val="32"/>
          <w:lang w:val="en-US" w:eastAsia="zh-CN"/>
        </w:rPr>
        <w:t>18.14</w:t>
      </w:r>
      <w:r>
        <w:rPr>
          <w:rFonts w:hint="eastAsia" w:eastAsia="方正仿宋简体"/>
          <w:b w:val="0"/>
          <w:szCs w:val="32"/>
        </w:rPr>
        <w:t>亿元，</w:t>
      </w:r>
      <w:r>
        <w:rPr>
          <w:rFonts w:eastAsia="方正仿宋简体"/>
          <w:b w:val="0"/>
          <w:bCs w:val="0"/>
          <w:color w:val="auto"/>
          <w:sz w:val="32"/>
          <w:szCs w:val="32"/>
        </w:rPr>
        <w:t>比上年</w:t>
      </w:r>
      <w:r>
        <w:rPr>
          <w:rFonts w:hint="eastAsia" w:eastAsia="方正仿宋简体"/>
          <w:b w:val="0"/>
          <w:szCs w:val="32"/>
          <w:lang w:eastAsia="zh-CN"/>
        </w:rPr>
        <w:t>下降</w:t>
      </w:r>
      <w:r>
        <w:rPr>
          <w:rFonts w:hint="eastAsia" w:eastAsia="方正仿宋简体"/>
          <w:b w:val="0"/>
          <w:szCs w:val="32"/>
          <w:lang w:val="en-US" w:eastAsia="zh-CN"/>
        </w:rPr>
        <w:t>18.8</w:t>
      </w:r>
      <w:r>
        <w:rPr>
          <w:rFonts w:hint="eastAsia" w:eastAsia="方正仿宋简体"/>
          <w:b w:val="0"/>
          <w:szCs w:val="32"/>
        </w:rPr>
        <w:t>%；第三产业投资</w:t>
      </w:r>
      <w:r>
        <w:rPr>
          <w:rFonts w:hint="eastAsia" w:eastAsia="方正仿宋简体"/>
          <w:b w:val="0"/>
          <w:szCs w:val="32"/>
          <w:lang w:val="en-US" w:eastAsia="zh-CN"/>
        </w:rPr>
        <w:t>29.32</w:t>
      </w:r>
      <w:r>
        <w:rPr>
          <w:rFonts w:hint="eastAsia" w:eastAsia="方正仿宋简体"/>
          <w:b w:val="0"/>
          <w:szCs w:val="32"/>
        </w:rPr>
        <w:t>亿元，</w:t>
      </w:r>
      <w:r>
        <w:rPr>
          <w:rFonts w:eastAsia="方正仿宋简体"/>
          <w:b w:val="0"/>
          <w:bCs w:val="0"/>
          <w:color w:val="auto"/>
          <w:sz w:val="32"/>
          <w:szCs w:val="32"/>
        </w:rPr>
        <w:t>比上年</w:t>
      </w:r>
      <w:r>
        <w:rPr>
          <w:rFonts w:hint="eastAsia" w:eastAsia="方正仿宋简体"/>
          <w:b w:val="0"/>
          <w:szCs w:val="32"/>
          <w:lang w:eastAsia="zh-CN"/>
        </w:rPr>
        <w:t>增长</w:t>
      </w:r>
      <w:r>
        <w:rPr>
          <w:rFonts w:hint="eastAsia" w:eastAsia="方正仿宋简体"/>
          <w:b w:val="0"/>
          <w:szCs w:val="32"/>
          <w:lang w:val="en-US" w:eastAsia="zh-CN"/>
        </w:rPr>
        <w:t>119.6</w:t>
      </w:r>
      <w:r>
        <w:rPr>
          <w:rFonts w:hint="eastAsia" w:eastAsia="方正仿宋简体"/>
          <w:b w:val="0"/>
          <w:szCs w:val="32"/>
        </w:rPr>
        <w:t>%。基础设施投资</w:t>
      </w:r>
      <w:r>
        <w:rPr>
          <w:rFonts w:hint="eastAsia" w:eastAsia="方正仿宋简体"/>
          <w:b w:val="0"/>
          <w:szCs w:val="32"/>
          <w:lang w:val="en-US" w:eastAsia="zh-CN"/>
        </w:rPr>
        <w:t>12.21</w:t>
      </w:r>
      <w:r>
        <w:rPr>
          <w:rFonts w:hint="eastAsia" w:eastAsia="方正仿宋简体"/>
          <w:b w:val="0"/>
          <w:szCs w:val="32"/>
        </w:rPr>
        <w:t>亿元，</w:t>
      </w:r>
      <w:r>
        <w:rPr>
          <w:rFonts w:eastAsia="方正仿宋简体"/>
          <w:b w:val="0"/>
          <w:bCs w:val="0"/>
          <w:color w:val="auto"/>
          <w:sz w:val="32"/>
          <w:szCs w:val="32"/>
        </w:rPr>
        <w:t>比上年</w:t>
      </w:r>
      <w:r>
        <w:rPr>
          <w:rFonts w:hint="eastAsia" w:eastAsia="方正仿宋简体"/>
          <w:b w:val="0"/>
          <w:szCs w:val="32"/>
          <w:lang w:eastAsia="zh-CN"/>
        </w:rPr>
        <w:t>下降</w:t>
      </w:r>
      <w:r>
        <w:rPr>
          <w:rFonts w:hint="eastAsia" w:eastAsia="方正仿宋简体"/>
          <w:b w:val="0"/>
          <w:szCs w:val="32"/>
          <w:lang w:val="en-US" w:eastAsia="zh-CN"/>
        </w:rPr>
        <w:t>32.6</w:t>
      </w:r>
      <w:r>
        <w:rPr>
          <w:rFonts w:hint="eastAsia" w:eastAsia="方正仿宋简体"/>
          <w:b w:val="0"/>
          <w:szCs w:val="32"/>
        </w:rPr>
        <w:t>%。</w:t>
      </w:r>
      <w:r>
        <w:rPr>
          <w:rFonts w:hint="eastAsia" w:eastAsia="方正仿宋简体"/>
          <w:b w:val="0"/>
          <w:szCs w:val="32"/>
          <w:lang w:eastAsia="zh-CN"/>
        </w:rPr>
        <w:t>民间投资</w:t>
      </w:r>
      <w:r>
        <w:rPr>
          <w:rFonts w:hint="eastAsia" w:eastAsia="方正仿宋简体"/>
          <w:b w:val="0"/>
          <w:szCs w:val="32"/>
          <w:lang w:val="en-US" w:eastAsia="zh-CN"/>
        </w:rPr>
        <w:t>27.48亿元，比上年增长205.1%。</w:t>
      </w:r>
    </w:p>
    <w:p>
      <w:pPr>
        <w:jc w:val="center"/>
      </w:pPr>
      <w:r>
        <w:drawing>
          <wp:inline distT="0" distB="0" distL="114300" distR="114300">
            <wp:extent cx="5309235" cy="3433445"/>
            <wp:effectExtent l="4445" t="4445" r="20320" b="10160"/>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20" w:lineRule="exact"/>
        <w:ind w:firstLine="420" w:firstLineChars="200"/>
        <w:rPr>
          <w:rFonts w:hint="eastAsia" w:eastAsia="方正仿宋简体"/>
          <w:bCs/>
          <w:sz w:val="32"/>
          <w:szCs w:val="32"/>
        </w:rPr>
      </w:pPr>
      <w:r>
        <w:drawing>
          <wp:anchor distT="0" distB="0" distL="114300" distR="114300" simplePos="0" relativeHeight="251662336" behindDoc="0" locked="0" layoutInCell="1" allowOverlap="1">
            <wp:simplePos x="0" y="0"/>
            <wp:positionH relativeFrom="column">
              <wp:posOffset>191770</wp:posOffset>
            </wp:positionH>
            <wp:positionV relativeFrom="paragraph">
              <wp:posOffset>137795</wp:posOffset>
            </wp:positionV>
            <wp:extent cx="5305425" cy="2926080"/>
            <wp:effectExtent l="4445" t="4445" r="5080" b="22225"/>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20" w:lineRule="exact"/>
        <w:ind w:firstLine="640" w:firstLineChars="200"/>
        <w:rPr>
          <w:rFonts w:hint="eastAsia" w:eastAsia="方正仿宋简体"/>
          <w:bCs/>
          <w:sz w:val="32"/>
          <w:szCs w:val="32"/>
        </w:rPr>
      </w:pPr>
    </w:p>
    <w:p>
      <w:pPr>
        <w:spacing w:line="620" w:lineRule="exact"/>
        <w:ind w:firstLine="640" w:firstLineChars="200"/>
        <w:rPr>
          <w:rFonts w:hint="eastAsia" w:eastAsia="方正仿宋简体"/>
          <w:bCs/>
          <w:sz w:val="32"/>
          <w:szCs w:val="32"/>
        </w:rPr>
      </w:pPr>
    </w:p>
    <w:p>
      <w:pPr>
        <w:spacing w:line="620" w:lineRule="exact"/>
        <w:ind w:firstLine="640" w:firstLineChars="200"/>
        <w:rPr>
          <w:rFonts w:hint="eastAsia" w:eastAsia="方正仿宋简体"/>
          <w:bCs/>
          <w:sz w:val="32"/>
          <w:szCs w:val="32"/>
        </w:rPr>
      </w:pPr>
    </w:p>
    <w:p>
      <w:pPr>
        <w:spacing w:line="620" w:lineRule="exact"/>
        <w:ind w:firstLine="640" w:firstLineChars="200"/>
        <w:rPr>
          <w:rFonts w:hint="eastAsia" w:eastAsia="方正仿宋简体"/>
          <w:bCs/>
          <w:sz w:val="32"/>
          <w:szCs w:val="32"/>
        </w:rPr>
      </w:pPr>
    </w:p>
    <w:p>
      <w:pPr>
        <w:spacing w:line="620" w:lineRule="exact"/>
        <w:ind w:firstLine="640" w:firstLineChars="200"/>
        <w:rPr>
          <w:rFonts w:hint="eastAsia" w:eastAsia="方正仿宋简体"/>
          <w:bCs/>
          <w:sz w:val="32"/>
          <w:szCs w:val="32"/>
        </w:rPr>
      </w:pPr>
    </w:p>
    <w:p>
      <w:pPr>
        <w:spacing w:line="620" w:lineRule="exact"/>
        <w:ind w:firstLine="640" w:firstLineChars="200"/>
        <w:rPr>
          <w:rFonts w:hint="eastAsia" w:eastAsia="方正仿宋简体"/>
          <w:bCs/>
          <w:sz w:val="32"/>
          <w:szCs w:val="32"/>
        </w:rPr>
      </w:pPr>
    </w:p>
    <w:p>
      <w:pPr>
        <w:spacing w:line="620" w:lineRule="exact"/>
        <w:ind w:firstLine="640" w:firstLineChars="200"/>
        <w:rPr>
          <w:rFonts w:hint="eastAsia" w:eastAsia="方正仿宋简体"/>
          <w:bCs/>
          <w:sz w:val="32"/>
          <w:szCs w:val="32"/>
        </w:rPr>
      </w:pPr>
    </w:p>
    <w:p>
      <w:pPr>
        <w:spacing w:line="620" w:lineRule="exact"/>
        <w:ind w:firstLine="640" w:firstLineChars="200"/>
        <w:rPr>
          <w:rFonts w:eastAsia="方正仿宋简体"/>
          <w:bCs/>
          <w:color w:val="auto"/>
          <w:sz w:val="32"/>
          <w:szCs w:val="32"/>
        </w:rPr>
      </w:pPr>
      <w:r>
        <w:rPr>
          <w:rFonts w:hint="eastAsia" w:eastAsia="方正仿宋简体"/>
          <w:bCs/>
          <w:color w:val="auto"/>
          <w:sz w:val="32"/>
          <w:szCs w:val="32"/>
        </w:rPr>
        <w:t>全年房地产开发投资完成</w:t>
      </w:r>
      <w:r>
        <w:rPr>
          <w:rFonts w:hint="eastAsia" w:eastAsia="方正仿宋简体"/>
          <w:bCs/>
          <w:color w:val="auto"/>
          <w:sz w:val="32"/>
          <w:szCs w:val="32"/>
          <w:lang w:val="en-US" w:eastAsia="zh-CN"/>
        </w:rPr>
        <w:t>9</w:t>
      </w:r>
      <w:r>
        <w:rPr>
          <w:rFonts w:hint="eastAsia" w:eastAsia="方正仿宋简体"/>
          <w:bCs/>
          <w:color w:val="auto"/>
          <w:sz w:val="32"/>
          <w:szCs w:val="32"/>
        </w:rPr>
        <w:t>亿元，比上年增长</w:t>
      </w:r>
      <w:r>
        <w:rPr>
          <w:rFonts w:hint="eastAsia" w:eastAsia="方正仿宋简体"/>
          <w:bCs/>
          <w:color w:val="auto"/>
          <w:sz w:val="32"/>
          <w:szCs w:val="32"/>
          <w:lang w:val="en-US" w:eastAsia="zh-CN"/>
        </w:rPr>
        <w:t>123.36</w:t>
      </w:r>
      <w:r>
        <w:rPr>
          <w:rFonts w:hint="eastAsia" w:eastAsia="方正仿宋简体"/>
          <w:bCs/>
          <w:color w:val="auto"/>
          <w:sz w:val="32"/>
          <w:szCs w:val="32"/>
        </w:rPr>
        <w:t>%。其中：住宅投资</w:t>
      </w:r>
      <w:r>
        <w:rPr>
          <w:rFonts w:hint="eastAsia" w:eastAsia="方正仿宋简体"/>
          <w:bCs/>
          <w:color w:val="auto"/>
          <w:sz w:val="32"/>
          <w:szCs w:val="32"/>
          <w:lang w:val="en-US" w:eastAsia="zh-CN"/>
        </w:rPr>
        <w:t>4.46</w:t>
      </w:r>
      <w:r>
        <w:rPr>
          <w:rFonts w:hint="eastAsia" w:eastAsia="方正仿宋简体"/>
          <w:bCs/>
          <w:color w:val="auto"/>
          <w:sz w:val="32"/>
          <w:szCs w:val="32"/>
        </w:rPr>
        <w:t>亿元，比上年</w:t>
      </w:r>
      <w:r>
        <w:rPr>
          <w:rFonts w:hint="eastAsia" w:eastAsia="方正仿宋简体"/>
          <w:bCs/>
          <w:color w:val="auto"/>
          <w:sz w:val="32"/>
          <w:szCs w:val="32"/>
          <w:lang w:eastAsia="zh-CN"/>
        </w:rPr>
        <w:t>增长</w:t>
      </w:r>
      <w:r>
        <w:rPr>
          <w:rFonts w:hint="eastAsia" w:eastAsia="方正仿宋简体"/>
          <w:bCs/>
          <w:color w:val="auto"/>
          <w:sz w:val="32"/>
          <w:szCs w:val="32"/>
          <w:lang w:val="en-US" w:eastAsia="zh-CN"/>
        </w:rPr>
        <w:t>30.57</w:t>
      </w:r>
      <w:r>
        <w:rPr>
          <w:rFonts w:hint="eastAsia" w:eastAsia="方正仿宋简体"/>
          <w:bCs/>
          <w:color w:val="auto"/>
          <w:sz w:val="32"/>
          <w:szCs w:val="32"/>
        </w:rPr>
        <w:t>%；商业营业用房投资</w:t>
      </w:r>
      <w:r>
        <w:rPr>
          <w:rFonts w:hint="eastAsia" w:eastAsia="方正仿宋简体"/>
          <w:bCs/>
          <w:color w:val="auto"/>
          <w:sz w:val="32"/>
          <w:szCs w:val="32"/>
          <w:lang w:val="en-US" w:eastAsia="zh-CN"/>
        </w:rPr>
        <w:t>4.2</w:t>
      </w:r>
      <w:r>
        <w:rPr>
          <w:rFonts w:hint="eastAsia" w:eastAsia="方正仿宋简体"/>
          <w:bCs/>
          <w:color w:val="auto"/>
          <w:sz w:val="32"/>
          <w:szCs w:val="32"/>
        </w:rPr>
        <w:t>亿元，比上年增长</w:t>
      </w:r>
      <w:r>
        <w:rPr>
          <w:rFonts w:hint="eastAsia" w:eastAsia="方正仿宋简体"/>
          <w:bCs/>
          <w:color w:val="auto"/>
          <w:sz w:val="32"/>
          <w:szCs w:val="32"/>
          <w:lang w:val="en-US" w:eastAsia="zh-CN"/>
        </w:rPr>
        <w:t>754.26</w:t>
      </w:r>
      <w:r>
        <w:rPr>
          <w:rFonts w:hint="eastAsia" w:eastAsia="方正仿宋简体"/>
          <w:bCs/>
          <w:color w:val="auto"/>
          <w:sz w:val="32"/>
          <w:szCs w:val="32"/>
        </w:rPr>
        <w:t>%。年末商品房</w:t>
      </w:r>
      <w:r>
        <w:rPr>
          <w:rFonts w:hint="eastAsia" w:eastAsia="方正仿宋简体"/>
          <w:bCs/>
          <w:color w:val="auto"/>
          <w:sz w:val="32"/>
          <w:szCs w:val="32"/>
          <w:lang w:eastAsia="zh-CN"/>
        </w:rPr>
        <w:t>销</w:t>
      </w:r>
      <w:r>
        <w:rPr>
          <w:rFonts w:hint="eastAsia" w:eastAsia="方正仿宋简体"/>
          <w:bCs/>
          <w:color w:val="auto"/>
          <w:sz w:val="32"/>
          <w:szCs w:val="32"/>
        </w:rPr>
        <w:t>售面积</w:t>
      </w:r>
      <w:r>
        <w:rPr>
          <w:rFonts w:hint="eastAsia" w:eastAsia="方正仿宋简体"/>
          <w:bCs/>
          <w:color w:val="auto"/>
          <w:sz w:val="32"/>
          <w:szCs w:val="32"/>
          <w:lang w:val="en-US" w:eastAsia="zh-CN"/>
        </w:rPr>
        <w:t>88061</w:t>
      </w:r>
      <w:r>
        <w:rPr>
          <w:rFonts w:hint="eastAsia" w:eastAsia="方正仿宋简体"/>
          <w:bCs/>
          <w:color w:val="auto"/>
          <w:sz w:val="32"/>
          <w:szCs w:val="32"/>
        </w:rPr>
        <w:t>平方米，比上年末增加</w:t>
      </w:r>
      <w:r>
        <w:rPr>
          <w:rFonts w:hint="eastAsia" w:eastAsia="方正仿宋简体"/>
          <w:bCs/>
          <w:color w:val="auto"/>
          <w:sz w:val="32"/>
          <w:szCs w:val="32"/>
          <w:lang w:val="en-US" w:eastAsia="zh-CN"/>
        </w:rPr>
        <w:t>4988</w:t>
      </w:r>
      <w:r>
        <w:rPr>
          <w:rFonts w:hint="eastAsia" w:eastAsia="方正仿宋简体"/>
          <w:bCs/>
          <w:color w:val="auto"/>
          <w:sz w:val="32"/>
          <w:szCs w:val="32"/>
        </w:rPr>
        <w:t>平方米，</w:t>
      </w:r>
      <w:r>
        <w:rPr>
          <w:rFonts w:hint="eastAsia" w:eastAsia="方正仿宋简体"/>
          <w:bCs/>
          <w:color w:val="auto"/>
          <w:sz w:val="32"/>
          <w:szCs w:val="32"/>
          <w:lang w:eastAsia="zh-CN"/>
        </w:rPr>
        <w:t>其中：</w:t>
      </w:r>
      <w:r>
        <w:rPr>
          <w:rFonts w:hint="eastAsia" w:eastAsia="方正仿宋简体"/>
          <w:bCs/>
          <w:color w:val="auto"/>
          <w:sz w:val="32"/>
          <w:szCs w:val="32"/>
        </w:rPr>
        <w:t>住宅</w:t>
      </w:r>
      <w:r>
        <w:rPr>
          <w:rFonts w:hint="eastAsia" w:eastAsia="方正仿宋简体"/>
          <w:bCs/>
          <w:color w:val="auto"/>
          <w:sz w:val="32"/>
          <w:szCs w:val="32"/>
          <w:lang w:eastAsia="zh-CN"/>
        </w:rPr>
        <w:t>销</w:t>
      </w:r>
      <w:r>
        <w:rPr>
          <w:rFonts w:hint="eastAsia" w:eastAsia="方正仿宋简体"/>
          <w:bCs/>
          <w:color w:val="auto"/>
          <w:sz w:val="32"/>
          <w:szCs w:val="32"/>
        </w:rPr>
        <w:t>售面积</w:t>
      </w:r>
      <w:r>
        <w:rPr>
          <w:rFonts w:hint="eastAsia" w:eastAsia="方正仿宋简体"/>
          <w:bCs/>
          <w:color w:val="auto"/>
          <w:sz w:val="32"/>
          <w:szCs w:val="32"/>
          <w:lang w:val="en-US" w:eastAsia="zh-CN"/>
        </w:rPr>
        <w:t>83364平方米，</w:t>
      </w:r>
      <w:r>
        <w:rPr>
          <w:rFonts w:hint="eastAsia" w:eastAsia="方正仿宋简体"/>
          <w:bCs/>
          <w:color w:val="auto"/>
          <w:sz w:val="32"/>
          <w:szCs w:val="32"/>
        </w:rPr>
        <w:t>比上年末增加</w:t>
      </w:r>
      <w:r>
        <w:rPr>
          <w:rFonts w:hint="eastAsia" w:eastAsia="方正仿宋简体"/>
          <w:bCs/>
          <w:color w:val="auto"/>
          <w:sz w:val="32"/>
          <w:szCs w:val="32"/>
          <w:lang w:val="en-US" w:eastAsia="zh-CN"/>
        </w:rPr>
        <w:t>7904</w:t>
      </w:r>
      <w:r>
        <w:rPr>
          <w:rFonts w:hint="eastAsia" w:eastAsia="方正仿宋简体"/>
          <w:bCs/>
          <w:color w:val="auto"/>
          <w:sz w:val="32"/>
          <w:szCs w:val="32"/>
        </w:rPr>
        <w:t>平方米。</w:t>
      </w:r>
    </w:p>
    <w:p>
      <w:pPr>
        <w:pStyle w:val="2"/>
        <w:rPr>
          <w:rFonts w:eastAsia="方正仿宋简体"/>
          <w:b w:val="0"/>
          <w:bCs/>
          <w:szCs w:val="32"/>
        </w:rPr>
      </w:pPr>
      <w:r>
        <w:pict>
          <v:shape id="_x0000_s1028" o:spid="_x0000_s1028" o:spt="75" type="#_x0000_t75" style="position:absolute;left:0pt;margin-left:9.25pt;margin-top:9.9pt;height:284.2pt;width:418.85pt;z-index:251660288;mso-width-relative:page;mso-height-relative:page;" o:ole="t" filled="f" o:preferrelative="t" stroked="f" coordsize="21600,21600">
            <v:path/>
            <v:fill on="f" focussize="0,0"/>
            <v:stroke on="f"/>
            <v:imagedata r:id="rId17" o:title=""/>
            <o:lock v:ext="edit" aspectratio="f"/>
          </v:shape>
          <o:OLEObject Type="Embed" ProgID="Office12.Excel.SheetBinaryMacroEnabled.12" ShapeID="_x0000_s1028" DrawAspect="Content" ObjectID="_1468075727" r:id="rId16">
            <o:LockedField>false</o:LockedField>
          </o:OLEObject>
        </w:pict>
      </w:r>
    </w:p>
    <w:p/>
    <w:p>
      <w:pPr>
        <w:pStyle w:val="2"/>
        <w:rPr>
          <w:rFonts w:eastAsia="方正仿宋简体"/>
          <w:b w:val="0"/>
          <w:bCs/>
          <w:szCs w:val="32"/>
        </w:rPr>
      </w:pPr>
    </w:p>
    <w:p/>
    <w:p>
      <w:pPr>
        <w:pStyle w:val="2"/>
      </w:pPr>
    </w:p>
    <w:p/>
    <w:p>
      <w:pPr>
        <w:pStyle w:val="2"/>
      </w:pPr>
    </w:p>
    <w:p/>
    <w:p/>
    <w:p>
      <w:pPr>
        <w:pStyle w:val="2"/>
        <w:spacing w:beforeLines="100" w:afterLines="100" w:line="620" w:lineRule="exact"/>
        <w:jc w:val="center"/>
        <w:rPr>
          <w:rFonts w:ascii="方正黑体简体" w:hAnsi="方正黑体简体" w:eastAsia="方正黑体简体" w:cs="方正黑体简体"/>
          <w:b w:val="0"/>
          <w:bCs/>
          <w:szCs w:val="32"/>
        </w:rPr>
      </w:pPr>
      <w:r>
        <w:rPr>
          <w:rFonts w:hint="eastAsia" w:ascii="方正黑体简体" w:hAnsi="方正黑体简体" w:eastAsia="方正黑体简体" w:cs="方正黑体简体"/>
          <w:b w:val="0"/>
          <w:bCs/>
          <w:szCs w:val="32"/>
        </w:rPr>
        <w:t>六、内外贸易</w:t>
      </w:r>
    </w:p>
    <w:p>
      <w:pPr>
        <w:shd w:val="clear" w:color="auto" w:fill="FFFFFF"/>
        <w:spacing w:line="620" w:lineRule="exact"/>
        <w:ind w:firstLine="640" w:firstLineChars="200"/>
        <w:rPr>
          <w:rFonts w:eastAsia="方正仿宋简体"/>
          <w:sz w:val="32"/>
          <w:szCs w:val="32"/>
        </w:rPr>
      </w:pPr>
      <w:r>
        <w:rPr>
          <w:rFonts w:hint="eastAsia" w:eastAsia="方正仿宋简体"/>
          <w:sz w:val="32"/>
          <w:szCs w:val="32"/>
        </w:rPr>
        <w:t>全年</w:t>
      </w:r>
      <w:r>
        <w:rPr>
          <w:rFonts w:eastAsia="方正仿宋简体"/>
          <w:sz w:val="32"/>
          <w:szCs w:val="32"/>
        </w:rPr>
        <w:t>社会消费品零售总额</w:t>
      </w:r>
      <w:r>
        <w:rPr>
          <w:rFonts w:hint="eastAsia" w:eastAsia="方正仿宋简体"/>
          <w:sz w:val="32"/>
          <w:szCs w:val="32"/>
          <w:lang w:val="en-US" w:eastAsia="zh-CN"/>
        </w:rPr>
        <w:t>20.71</w:t>
      </w:r>
      <w:r>
        <w:rPr>
          <w:rFonts w:eastAsia="方正仿宋简体"/>
          <w:sz w:val="32"/>
          <w:szCs w:val="32"/>
        </w:rPr>
        <w:t>亿元，</w:t>
      </w:r>
      <w:r>
        <w:rPr>
          <w:rFonts w:hint="eastAsia" w:eastAsia="方正仿宋简体"/>
          <w:sz w:val="32"/>
          <w:szCs w:val="32"/>
        </w:rPr>
        <w:t>比上年增长</w:t>
      </w:r>
      <w:r>
        <w:rPr>
          <w:rFonts w:hint="eastAsia" w:eastAsia="方正仿宋简体"/>
          <w:sz w:val="32"/>
          <w:szCs w:val="32"/>
          <w:lang w:val="en-US" w:eastAsia="zh-CN"/>
        </w:rPr>
        <w:t>8.2</w:t>
      </w:r>
      <w:r>
        <w:rPr>
          <w:rFonts w:eastAsia="方正仿宋简体"/>
          <w:sz w:val="32"/>
          <w:szCs w:val="32"/>
        </w:rPr>
        <w:t>%。其中</w:t>
      </w:r>
      <w:r>
        <w:rPr>
          <w:rFonts w:hint="eastAsia" w:eastAsia="方正仿宋简体"/>
          <w:sz w:val="32"/>
          <w:szCs w:val="32"/>
        </w:rPr>
        <w:t>：</w:t>
      </w:r>
      <w:r>
        <w:rPr>
          <w:rFonts w:eastAsia="方正仿宋简体"/>
          <w:sz w:val="32"/>
          <w:szCs w:val="32"/>
        </w:rPr>
        <w:t>限额以上社会消费品零售总额</w:t>
      </w:r>
      <w:r>
        <w:rPr>
          <w:rFonts w:hint="eastAsia" w:eastAsia="方正仿宋简体"/>
          <w:sz w:val="32"/>
          <w:szCs w:val="32"/>
          <w:lang w:val="en-US" w:eastAsia="zh-CN"/>
        </w:rPr>
        <w:t>13.24</w:t>
      </w:r>
      <w:r>
        <w:rPr>
          <w:rFonts w:eastAsia="方正仿宋简体"/>
          <w:sz w:val="32"/>
          <w:szCs w:val="32"/>
        </w:rPr>
        <w:t>亿元，</w:t>
      </w:r>
      <w:r>
        <w:rPr>
          <w:rFonts w:hint="eastAsia" w:eastAsia="方正仿宋简体"/>
          <w:sz w:val="32"/>
          <w:szCs w:val="32"/>
        </w:rPr>
        <w:t>比上年增长</w:t>
      </w:r>
      <w:r>
        <w:rPr>
          <w:rFonts w:hint="eastAsia" w:eastAsia="方正仿宋简体"/>
          <w:sz w:val="32"/>
          <w:szCs w:val="32"/>
          <w:lang w:val="en-US" w:eastAsia="zh-CN"/>
        </w:rPr>
        <w:t>4.75</w:t>
      </w:r>
      <w:r>
        <w:rPr>
          <w:rFonts w:eastAsia="方正仿宋简体"/>
          <w:sz w:val="32"/>
          <w:szCs w:val="32"/>
        </w:rPr>
        <w:t>%。</w:t>
      </w:r>
      <w:r>
        <w:rPr>
          <w:rFonts w:hint="eastAsia" w:eastAsia="方正仿宋简体"/>
          <w:sz w:val="32"/>
          <w:szCs w:val="32"/>
        </w:rPr>
        <w:t>按经营地统计，</w:t>
      </w:r>
      <w:r>
        <w:rPr>
          <w:rFonts w:eastAsia="方正仿宋简体"/>
          <w:sz w:val="32"/>
          <w:szCs w:val="32"/>
        </w:rPr>
        <w:t>城镇</w:t>
      </w:r>
      <w:r>
        <w:rPr>
          <w:rFonts w:hint="eastAsia" w:eastAsia="方正仿宋简体"/>
          <w:sz w:val="32"/>
          <w:szCs w:val="32"/>
        </w:rPr>
        <w:t>限额以上社会</w:t>
      </w:r>
      <w:r>
        <w:rPr>
          <w:rFonts w:eastAsia="方正仿宋简体"/>
          <w:sz w:val="32"/>
          <w:szCs w:val="32"/>
        </w:rPr>
        <w:t>消费品零售总额</w:t>
      </w:r>
      <w:r>
        <w:rPr>
          <w:rFonts w:hint="eastAsia" w:eastAsia="方正仿宋简体"/>
          <w:sz w:val="32"/>
          <w:szCs w:val="32"/>
          <w:lang w:val="en-US" w:eastAsia="zh-CN"/>
        </w:rPr>
        <w:t>10.9</w:t>
      </w:r>
      <w:r>
        <w:rPr>
          <w:rFonts w:hint="eastAsia" w:eastAsia="方正仿宋简体"/>
          <w:sz w:val="32"/>
          <w:szCs w:val="32"/>
        </w:rPr>
        <w:t>亿</w:t>
      </w:r>
      <w:r>
        <w:rPr>
          <w:rFonts w:eastAsia="方正仿宋简体"/>
          <w:sz w:val="32"/>
          <w:szCs w:val="32"/>
        </w:rPr>
        <w:t>元，</w:t>
      </w:r>
      <w:r>
        <w:rPr>
          <w:rFonts w:hint="eastAsia" w:eastAsia="方正仿宋简体"/>
          <w:bCs/>
          <w:color w:val="auto"/>
          <w:sz w:val="32"/>
          <w:szCs w:val="32"/>
        </w:rPr>
        <w:t>比上年</w:t>
      </w:r>
      <w:r>
        <w:rPr>
          <w:rFonts w:hint="eastAsia" w:eastAsia="方正仿宋简体"/>
          <w:sz w:val="32"/>
          <w:szCs w:val="32"/>
          <w:lang w:eastAsia="zh-CN"/>
        </w:rPr>
        <w:t>下降</w:t>
      </w:r>
      <w:r>
        <w:rPr>
          <w:rFonts w:hint="eastAsia" w:eastAsia="方正仿宋简体"/>
          <w:sz w:val="32"/>
          <w:szCs w:val="32"/>
          <w:lang w:val="en-US" w:eastAsia="zh-CN"/>
        </w:rPr>
        <w:t>4.8</w:t>
      </w:r>
      <w:r>
        <w:rPr>
          <w:rFonts w:eastAsia="方正仿宋简体"/>
          <w:sz w:val="32"/>
          <w:szCs w:val="32"/>
        </w:rPr>
        <w:t>%</w:t>
      </w:r>
      <w:r>
        <w:rPr>
          <w:rFonts w:hint="eastAsia" w:eastAsia="方正仿宋简体"/>
          <w:sz w:val="32"/>
          <w:szCs w:val="32"/>
        </w:rPr>
        <w:t>；</w:t>
      </w:r>
      <w:r>
        <w:rPr>
          <w:rFonts w:eastAsia="方正仿宋简体"/>
          <w:sz w:val="32"/>
          <w:szCs w:val="32"/>
        </w:rPr>
        <w:t>乡村</w:t>
      </w:r>
      <w:r>
        <w:rPr>
          <w:rFonts w:hint="eastAsia" w:eastAsia="方正仿宋简体"/>
          <w:sz w:val="32"/>
          <w:szCs w:val="32"/>
        </w:rPr>
        <w:t>限额以上社会</w:t>
      </w:r>
      <w:r>
        <w:rPr>
          <w:rFonts w:eastAsia="方正仿宋简体"/>
          <w:sz w:val="32"/>
          <w:szCs w:val="32"/>
        </w:rPr>
        <w:t>消费品零售总额</w:t>
      </w:r>
      <w:r>
        <w:rPr>
          <w:rFonts w:hint="eastAsia" w:eastAsia="方正仿宋简体"/>
          <w:sz w:val="32"/>
          <w:szCs w:val="32"/>
          <w:lang w:val="en-US" w:eastAsia="zh-CN"/>
        </w:rPr>
        <w:t>2.34</w:t>
      </w:r>
      <w:r>
        <w:rPr>
          <w:rFonts w:hint="eastAsia" w:eastAsia="方正仿宋简体"/>
          <w:sz w:val="32"/>
          <w:szCs w:val="32"/>
        </w:rPr>
        <w:t>亿</w:t>
      </w:r>
      <w:r>
        <w:rPr>
          <w:rFonts w:eastAsia="方正仿宋简体"/>
          <w:sz w:val="32"/>
          <w:szCs w:val="32"/>
        </w:rPr>
        <w:t>元，</w:t>
      </w:r>
      <w:r>
        <w:rPr>
          <w:rFonts w:hint="eastAsia" w:eastAsia="方正仿宋简体"/>
          <w:bCs/>
          <w:color w:val="auto"/>
          <w:sz w:val="32"/>
          <w:szCs w:val="32"/>
        </w:rPr>
        <w:t>比上年</w:t>
      </w:r>
      <w:r>
        <w:rPr>
          <w:rFonts w:eastAsia="方正仿宋简体"/>
          <w:sz w:val="32"/>
          <w:szCs w:val="32"/>
        </w:rPr>
        <w:t>增长</w:t>
      </w:r>
      <w:r>
        <w:rPr>
          <w:rFonts w:hint="eastAsia" w:eastAsia="方正仿宋简体"/>
          <w:sz w:val="32"/>
          <w:szCs w:val="32"/>
          <w:lang w:val="en-US" w:eastAsia="zh-CN"/>
        </w:rPr>
        <w:t>94.8</w:t>
      </w:r>
      <w:r>
        <w:rPr>
          <w:rFonts w:hint="eastAsia" w:eastAsia="方正仿宋简体"/>
          <w:sz w:val="32"/>
          <w:szCs w:val="32"/>
        </w:rPr>
        <w:t>%。</w:t>
      </w:r>
      <w:r>
        <w:rPr>
          <w:rFonts w:eastAsia="方正仿宋简体"/>
          <w:sz w:val="32"/>
          <w:szCs w:val="32"/>
        </w:rPr>
        <w:t>城镇消费品市场</w:t>
      </w:r>
      <w:r>
        <w:rPr>
          <w:rFonts w:hint="eastAsia" w:eastAsia="方正仿宋简体"/>
          <w:color w:val="auto"/>
          <w:sz w:val="32"/>
          <w:szCs w:val="32"/>
        </w:rPr>
        <w:t>居于</w:t>
      </w:r>
      <w:r>
        <w:rPr>
          <w:rFonts w:eastAsia="方正仿宋简体"/>
          <w:sz w:val="32"/>
          <w:szCs w:val="32"/>
        </w:rPr>
        <w:t>主导地位，占</w:t>
      </w:r>
      <w:r>
        <w:rPr>
          <w:rFonts w:hint="eastAsia" w:eastAsia="方正仿宋简体"/>
          <w:sz w:val="32"/>
          <w:szCs w:val="32"/>
          <w:lang w:eastAsia="zh-CN"/>
        </w:rPr>
        <w:t>限额以上</w:t>
      </w:r>
      <w:r>
        <w:rPr>
          <w:rFonts w:eastAsia="方正仿宋简体"/>
          <w:sz w:val="32"/>
          <w:szCs w:val="32"/>
        </w:rPr>
        <w:t>社会消费品零售总额的</w:t>
      </w:r>
      <w:r>
        <w:rPr>
          <w:rFonts w:hint="eastAsia" w:eastAsia="方正仿宋简体"/>
          <w:sz w:val="32"/>
          <w:szCs w:val="32"/>
          <w:lang w:val="en-US" w:eastAsia="zh-CN"/>
        </w:rPr>
        <w:t>82.33</w:t>
      </w:r>
      <w:r>
        <w:rPr>
          <w:rFonts w:eastAsia="方正仿宋简体"/>
          <w:sz w:val="32"/>
          <w:szCs w:val="32"/>
        </w:rPr>
        <w:t>%。</w:t>
      </w:r>
      <w:r>
        <w:rPr>
          <w:rFonts w:hint="eastAsia" w:eastAsia="方正仿宋简体"/>
          <w:sz w:val="32"/>
          <w:szCs w:val="32"/>
        </w:rPr>
        <w:t>按消费类型统计，限额以上商品零售额</w:t>
      </w:r>
      <w:r>
        <w:rPr>
          <w:rFonts w:hint="eastAsia" w:eastAsia="方正仿宋简体"/>
          <w:sz w:val="32"/>
          <w:szCs w:val="32"/>
          <w:lang w:val="en-US" w:eastAsia="zh-CN"/>
        </w:rPr>
        <w:t>12.86</w:t>
      </w:r>
      <w:r>
        <w:rPr>
          <w:rFonts w:hint="eastAsia" w:eastAsia="方正仿宋简体"/>
          <w:sz w:val="32"/>
          <w:szCs w:val="32"/>
        </w:rPr>
        <w:t>亿元，</w:t>
      </w:r>
      <w:r>
        <w:rPr>
          <w:rFonts w:hint="eastAsia" w:eastAsia="方正仿宋简体"/>
          <w:bCs/>
          <w:color w:val="auto"/>
          <w:sz w:val="32"/>
          <w:szCs w:val="32"/>
        </w:rPr>
        <w:t>比上年</w:t>
      </w:r>
      <w:r>
        <w:rPr>
          <w:rFonts w:hint="eastAsia" w:eastAsia="方正仿宋简体"/>
          <w:sz w:val="32"/>
          <w:szCs w:val="32"/>
        </w:rPr>
        <w:t>增长</w:t>
      </w:r>
      <w:r>
        <w:rPr>
          <w:rFonts w:hint="eastAsia" w:eastAsia="方正仿宋简体"/>
          <w:sz w:val="32"/>
          <w:szCs w:val="32"/>
          <w:lang w:val="en-US" w:eastAsia="zh-CN"/>
        </w:rPr>
        <w:t>5.7</w:t>
      </w:r>
      <w:r>
        <w:rPr>
          <w:rFonts w:hint="eastAsia" w:eastAsia="方正仿宋简体"/>
          <w:sz w:val="32"/>
          <w:szCs w:val="32"/>
        </w:rPr>
        <w:t>%；限额以上餐饮收入</w:t>
      </w:r>
      <w:r>
        <w:rPr>
          <w:rFonts w:hint="eastAsia" w:eastAsia="方正仿宋简体"/>
          <w:sz w:val="32"/>
          <w:szCs w:val="32"/>
          <w:lang w:val="en-US" w:eastAsia="zh-CN"/>
        </w:rPr>
        <w:t>0.38</w:t>
      </w:r>
      <w:r>
        <w:rPr>
          <w:rFonts w:hint="eastAsia" w:eastAsia="方正仿宋简体"/>
          <w:sz w:val="32"/>
          <w:szCs w:val="32"/>
        </w:rPr>
        <w:t>亿元，</w:t>
      </w:r>
      <w:r>
        <w:rPr>
          <w:rFonts w:hint="eastAsia" w:eastAsia="方正仿宋简体"/>
          <w:bCs/>
          <w:color w:val="auto"/>
          <w:sz w:val="32"/>
          <w:szCs w:val="32"/>
        </w:rPr>
        <w:t>比上年</w:t>
      </w:r>
      <w:r>
        <w:rPr>
          <w:rFonts w:hint="eastAsia" w:eastAsia="方正仿宋简体"/>
          <w:sz w:val="32"/>
          <w:szCs w:val="32"/>
          <w:lang w:eastAsia="zh-CN"/>
        </w:rPr>
        <w:t>下降</w:t>
      </w:r>
      <w:r>
        <w:rPr>
          <w:rFonts w:hint="eastAsia" w:eastAsia="方正仿宋简体"/>
          <w:sz w:val="32"/>
          <w:szCs w:val="32"/>
          <w:lang w:val="en-US" w:eastAsia="zh-CN"/>
        </w:rPr>
        <w:t>25</w:t>
      </w:r>
      <w:r>
        <w:rPr>
          <w:rFonts w:hint="eastAsia" w:eastAsia="方正仿宋简体"/>
          <w:sz w:val="32"/>
          <w:szCs w:val="32"/>
        </w:rPr>
        <w:t>%。</w:t>
      </w:r>
    </w:p>
    <w:p>
      <w:pPr>
        <w:pStyle w:val="2"/>
      </w:pPr>
      <w:r>
        <w:drawing>
          <wp:inline distT="0" distB="0" distL="114300" distR="114300">
            <wp:extent cx="5369560" cy="3147695"/>
            <wp:effectExtent l="4445" t="5080" r="17145" b="9525"/>
            <wp:docPr id="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hd w:val="clear" w:color="auto" w:fill="FFFFFF"/>
        <w:spacing w:line="620" w:lineRule="exact"/>
        <w:ind w:firstLine="640" w:firstLineChars="200"/>
        <w:rPr>
          <w:rFonts w:eastAsia="方正仿宋简体"/>
          <w:color w:val="auto"/>
          <w:sz w:val="32"/>
          <w:szCs w:val="32"/>
        </w:rPr>
      </w:pPr>
      <w:r>
        <w:rPr>
          <w:rFonts w:hint="eastAsia" w:eastAsia="方正仿宋简体"/>
          <w:color w:val="auto"/>
          <w:sz w:val="32"/>
          <w:szCs w:val="32"/>
        </w:rPr>
        <w:t>在限额以上单位商品零售额中，粮油、食品零售额比上年增长</w:t>
      </w:r>
      <w:r>
        <w:rPr>
          <w:rFonts w:hint="eastAsia" w:eastAsia="方正仿宋简体"/>
          <w:color w:val="auto"/>
          <w:sz w:val="32"/>
          <w:szCs w:val="32"/>
          <w:lang w:val="en-US" w:eastAsia="zh-CN"/>
        </w:rPr>
        <w:t>84.2</w:t>
      </w:r>
      <w:r>
        <w:rPr>
          <w:rFonts w:hint="eastAsia" w:eastAsia="方正仿宋简体"/>
          <w:color w:val="auto"/>
          <w:sz w:val="32"/>
          <w:szCs w:val="32"/>
        </w:rPr>
        <w:t>%；饮料类</w:t>
      </w:r>
      <w:r>
        <w:rPr>
          <w:rFonts w:hint="eastAsia" w:eastAsia="方正仿宋简体"/>
          <w:bCs/>
          <w:color w:val="auto"/>
          <w:sz w:val="32"/>
          <w:szCs w:val="32"/>
        </w:rPr>
        <w:t>比上年</w:t>
      </w:r>
      <w:r>
        <w:rPr>
          <w:rFonts w:hint="eastAsia" w:eastAsia="方正仿宋简体"/>
          <w:color w:val="auto"/>
          <w:sz w:val="32"/>
          <w:szCs w:val="32"/>
        </w:rPr>
        <w:t>增长</w:t>
      </w:r>
      <w:r>
        <w:rPr>
          <w:rFonts w:hint="eastAsia" w:eastAsia="方正仿宋简体"/>
          <w:color w:val="auto"/>
          <w:sz w:val="32"/>
          <w:szCs w:val="32"/>
          <w:lang w:val="en-US" w:eastAsia="zh-CN"/>
        </w:rPr>
        <w:t>159.6</w:t>
      </w:r>
      <w:r>
        <w:rPr>
          <w:rFonts w:hint="eastAsia" w:eastAsia="方正仿宋简体"/>
          <w:color w:val="auto"/>
          <w:sz w:val="32"/>
          <w:szCs w:val="32"/>
        </w:rPr>
        <w:t>%；日用品类</w:t>
      </w:r>
      <w:r>
        <w:rPr>
          <w:rFonts w:hint="eastAsia" w:eastAsia="方正仿宋简体"/>
          <w:bCs/>
          <w:color w:val="auto"/>
          <w:sz w:val="32"/>
          <w:szCs w:val="32"/>
        </w:rPr>
        <w:t>比上年</w:t>
      </w:r>
      <w:r>
        <w:rPr>
          <w:rFonts w:hint="eastAsia" w:eastAsia="方正仿宋简体"/>
          <w:color w:val="auto"/>
          <w:sz w:val="32"/>
          <w:szCs w:val="32"/>
        </w:rPr>
        <w:t>增长</w:t>
      </w:r>
      <w:r>
        <w:rPr>
          <w:rFonts w:hint="eastAsia" w:eastAsia="方正仿宋简体"/>
          <w:color w:val="auto"/>
          <w:sz w:val="32"/>
          <w:szCs w:val="32"/>
          <w:lang w:val="en-US" w:eastAsia="zh-CN"/>
        </w:rPr>
        <w:t>1810.7</w:t>
      </w:r>
      <w:r>
        <w:rPr>
          <w:rFonts w:hint="eastAsia" w:eastAsia="方正仿宋简体"/>
          <w:color w:val="auto"/>
          <w:sz w:val="32"/>
          <w:szCs w:val="32"/>
        </w:rPr>
        <w:t>%；中西药品类</w:t>
      </w:r>
      <w:r>
        <w:rPr>
          <w:rFonts w:hint="eastAsia" w:eastAsia="方正仿宋简体"/>
          <w:bCs/>
          <w:color w:val="auto"/>
          <w:sz w:val="32"/>
          <w:szCs w:val="32"/>
        </w:rPr>
        <w:t>比上年</w:t>
      </w:r>
      <w:r>
        <w:rPr>
          <w:rFonts w:hint="eastAsia" w:eastAsia="方正仿宋简体"/>
          <w:color w:val="auto"/>
          <w:sz w:val="32"/>
          <w:szCs w:val="32"/>
          <w:lang w:eastAsia="zh-CN"/>
        </w:rPr>
        <w:t>下降</w:t>
      </w:r>
      <w:r>
        <w:rPr>
          <w:rFonts w:hint="eastAsia" w:eastAsia="方正仿宋简体"/>
          <w:color w:val="auto"/>
          <w:sz w:val="32"/>
          <w:szCs w:val="32"/>
          <w:lang w:val="en-US" w:eastAsia="zh-CN"/>
        </w:rPr>
        <w:t>57.2</w:t>
      </w:r>
      <w:r>
        <w:rPr>
          <w:rFonts w:hint="eastAsia" w:eastAsia="方正仿宋简体"/>
          <w:color w:val="auto"/>
          <w:sz w:val="32"/>
          <w:szCs w:val="32"/>
        </w:rPr>
        <w:t>%；机电产品及设备类</w:t>
      </w:r>
      <w:r>
        <w:rPr>
          <w:rFonts w:hint="eastAsia" w:eastAsia="方正仿宋简体"/>
          <w:bCs/>
          <w:color w:val="auto"/>
          <w:sz w:val="32"/>
          <w:szCs w:val="32"/>
        </w:rPr>
        <w:t>比上年</w:t>
      </w:r>
      <w:r>
        <w:rPr>
          <w:rFonts w:hint="eastAsia" w:eastAsia="方正仿宋简体"/>
          <w:color w:val="auto"/>
          <w:sz w:val="32"/>
          <w:szCs w:val="32"/>
          <w:lang w:eastAsia="zh-CN"/>
        </w:rPr>
        <w:t>下降</w:t>
      </w:r>
      <w:r>
        <w:rPr>
          <w:rFonts w:hint="eastAsia" w:eastAsia="方正仿宋简体"/>
          <w:color w:val="auto"/>
          <w:sz w:val="32"/>
          <w:szCs w:val="32"/>
          <w:lang w:val="en-US" w:eastAsia="zh-CN"/>
        </w:rPr>
        <w:t>20.1</w:t>
      </w:r>
      <w:r>
        <w:rPr>
          <w:rFonts w:hint="eastAsia" w:eastAsia="方正仿宋简体"/>
          <w:color w:val="auto"/>
          <w:sz w:val="32"/>
          <w:szCs w:val="32"/>
        </w:rPr>
        <w:t>%；汽车类</w:t>
      </w:r>
      <w:r>
        <w:rPr>
          <w:rFonts w:hint="eastAsia" w:eastAsia="方正仿宋简体"/>
          <w:bCs/>
          <w:color w:val="auto"/>
          <w:sz w:val="32"/>
          <w:szCs w:val="32"/>
        </w:rPr>
        <w:t>比上年</w:t>
      </w:r>
      <w:r>
        <w:rPr>
          <w:rFonts w:hint="eastAsia" w:eastAsia="方正仿宋简体"/>
          <w:color w:val="auto"/>
          <w:sz w:val="32"/>
          <w:szCs w:val="32"/>
          <w:lang w:eastAsia="zh-CN"/>
        </w:rPr>
        <w:t>增长</w:t>
      </w:r>
      <w:r>
        <w:rPr>
          <w:rFonts w:hint="eastAsia" w:eastAsia="方正仿宋简体"/>
          <w:color w:val="auto"/>
          <w:sz w:val="32"/>
          <w:szCs w:val="32"/>
          <w:lang w:val="en-US" w:eastAsia="zh-CN"/>
        </w:rPr>
        <w:t>3.3</w:t>
      </w:r>
      <w:r>
        <w:rPr>
          <w:rFonts w:hint="eastAsia" w:eastAsia="方正仿宋简体"/>
          <w:color w:val="auto"/>
          <w:sz w:val="32"/>
          <w:szCs w:val="32"/>
        </w:rPr>
        <w:t>%；其他未列明商品类</w:t>
      </w:r>
      <w:r>
        <w:rPr>
          <w:rFonts w:hint="eastAsia" w:eastAsia="方正仿宋简体"/>
          <w:bCs/>
          <w:color w:val="auto"/>
          <w:sz w:val="32"/>
          <w:szCs w:val="32"/>
        </w:rPr>
        <w:t>比上年</w:t>
      </w:r>
      <w:r>
        <w:rPr>
          <w:rFonts w:hint="eastAsia" w:eastAsia="方正仿宋简体"/>
          <w:color w:val="auto"/>
          <w:sz w:val="32"/>
          <w:szCs w:val="32"/>
          <w:lang w:eastAsia="zh-CN"/>
        </w:rPr>
        <w:t>下降</w:t>
      </w:r>
      <w:r>
        <w:rPr>
          <w:rFonts w:hint="eastAsia" w:eastAsia="方正仿宋简体"/>
          <w:color w:val="auto"/>
          <w:sz w:val="32"/>
          <w:szCs w:val="32"/>
          <w:lang w:val="en-US" w:eastAsia="zh-CN"/>
        </w:rPr>
        <w:t>69.8</w:t>
      </w:r>
      <w:r>
        <w:rPr>
          <w:rFonts w:hint="eastAsia" w:eastAsia="方正仿宋简体"/>
          <w:color w:val="auto"/>
          <w:sz w:val="32"/>
          <w:szCs w:val="32"/>
        </w:rPr>
        <w:t>%。</w:t>
      </w:r>
    </w:p>
    <w:p>
      <w:pPr>
        <w:shd w:val="clear" w:color="auto" w:fill="FFFFFF"/>
        <w:spacing w:line="620" w:lineRule="exact"/>
        <w:ind w:firstLine="640" w:firstLineChars="200"/>
        <w:rPr>
          <w:rFonts w:eastAsia="方正仿宋简体"/>
        </w:rPr>
      </w:pPr>
      <w:r>
        <w:rPr>
          <w:rFonts w:hint="eastAsia" w:eastAsia="方正仿宋简体"/>
          <w:sz w:val="32"/>
          <w:szCs w:val="32"/>
        </w:rPr>
        <w:t>全年</w:t>
      </w:r>
      <w:r>
        <w:rPr>
          <w:rFonts w:eastAsia="方正仿宋简体"/>
          <w:sz w:val="32"/>
          <w:szCs w:val="32"/>
        </w:rPr>
        <w:t>外贸进出口总额</w:t>
      </w:r>
      <w:r>
        <w:rPr>
          <w:rFonts w:hint="eastAsia" w:eastAsia="方正仿宋简体"/>
          <w:sz w:val="32"/>
          <w:szCs w:val="32"/>
          <w:lang w:val="en-US" w:eastAsia="zh-CN"/>
        </w:rPr>
        <w:t>3.34</w:t>
      </w:r>
      <w:r>
        <w:rPr>
          <w:rFonts w:hint="eastAsia" w:eastAsia="方正仿宋简体"/>
          <w:sz w:val="32"/>
          <w:szCs w:val="32"/>
        </w:rPr>
        <w:t>亿</w:t>
      </w:r>
      <w:r>
        <w:rPr>
          <w:rFonts w:eastAsia="方正仿宋简体"/>
          <w:sz w:val="32"/>
          <w:szCs w:val="32"/>
        </w:rPr>
        <w:t>元，</w:t>
      </w:r>
      <w:r>
        <w:rPr>
          <w:rFonts w:hint="eastAsia" w:eastAsia="方正仿宋简体"/>
          <w:bCs/>
          <w:color w:val="auto"/>
          <w:sz w:val="32"/>
          <w:szCs w:val="32"/>
        </w:rPr>
        <w:t>比上年</w:t>
      </w:r>
      <w:r>
        <w:rPr>
          <w:rFonts w:eastAsia="方正仿宋简体"/>
          <w:sz w:val="32"/>
          <w:szCs w:val="32"/>
        </w:rPr>
        <w:t>增长</w:t>
      </w:r>
      <w:r>
        <w:rPr>
          <w:rFonts w:hint="eastAsia" w:eastAsia="方正仿宋简体"/>
          <w:sz w:val="32"/>
          <w:szCs w:val="32"/>
          <w:lang w:val="en-US" w:eastAsia="zh-CN"/>
        </w:rPr>
        <w:t>44.11</w:t>
      </w:r>
      <w:r>
        <w:rPr>
          <w:rFonts w:eastAsia="方正仿宋简体"/>
          <w:sz w:val="32"/>
          <w:szCs w:val="32"/>
        </w:rPr>
        <w:t>%</w:t>
      </w:r>
      <w:r>
        <w:rPr>
          <w:rFonts w:hint="eastAsia" w:eastAsia="方正仿宋简体"/>
          <w:sz w:val="32"/>
          <w:szCs w:val="32"/>
        </w:rPr>
        <w:t>。</w:t>
      </w:r>
    </w:p>
    <w:p>
      <w:pPr>
        <w:pStyle w:val="2"/>
        <w:spacing w:beforeLines="100" w:afterLines="100" w:line="620" w:lineRule="exact"/>
        <w:jc w:val="center"/>
        <w:rPr>
          <w:rFonts w:ascii="方正黑体简体" w:hAnsi="方正黑体简体" w:eastAsia="方正黑体简体" w:cs="方正黑体简体"/>
          <w:b w:val="0"/>
          <w:bCs/>
        </w:rPr>
      </w:pPr>
      <w:r>
        <w:rPr>
          <w:rFonts w:hint="eastAsia" w:ascii="方正黑体简体" w:hAnsi="方正黑体简体" w:eastAsia="方正黑体简体" w:cs="方正黑体简体"/>
          <w:b w:val="0"/>
          <w:bCs/>
        </w:rPr>
        <w:t>七、财政和金融</w:t>
      </w:r>
    </w:p>
    <w:p>
      <w:pPr>
        <w:spacing w:line="620" w:lineRule="exact"/>
        <w:ind w:firstLine="640" w:firstLineChars="200"/>
        <w:rPr>
          <w:rFonts w:eastAsia="方正仿宋简体"/>
          <w:sz w:val="32"/>
          <w:szCs w:val="32"/>
        </w:rPr>
      </w:pPr>
      <w:r>
        <w:rPr>
          <w:rFonts w:hint="eastAsia" w:eastAsia="方正仿宋简体"/>
          <w:sz w:val="32"/>
          <w:szCs w:val="32"/>
        </w:rPr>
        <w:t>全年</w:t>
      </w:r>
      <w:r>
        <w:rPr>
          <w:rFonts w:eastAsia="方正仿宋简体"/>
          <w:sz w:val="32"/>
          <w:szCs w:val="32"/>
        </w:rPr>
        <w:t>一般公共预算收入完成</w:t>
      </w:r>
      <w:r>
        <w:rPr>
          <w:rFonts w:hint="eastAsia" w:eastAsia="方正仿宋简体"/>
          <w:sz w:val="32"/>
          <w:szCs w:val="32"/>
          <w:lang w:val="en-US" w:eastAsia="zh-CN"/>
        </w:rPr>
        <w:t>6.19</w:t>
      </w:r>
      <w:r>
        <w:rPr>
          <w:rFonts w:eastAsia="方正仿宋简体"/>
          <w:sz w:val="32"/>
          <w:szCs w:val="32"/>
        </w:rPr>
        <w:t>亿元，</w:t>
      </w:r>
      <w:r>
        <w:rPr>
          <w:rFonts w:hint="eastAsia" w:eastAsia="方正仿宋简体"/>
          <w:sz w:val="32"/>
          <w:szCs w:val="32"/>
        </w:rPr>
        <w:t>比上年</w:t>
      </w:r>
      <w:r>
        <w:rPr>
          <w:rFonts w:eastAsia="方正仿宋简体"/>
          <w:sz w:val="32"/>
          <w:szCs w:val="32"/>
        </w:rPr>
        <w:t>增长</w:t>
      </w:r>
      <w:r>
        <w:rPr>
          <w:rFonts w:hint="eastAsia" w:eastAsia="方正仿宋简体"/>
          <w:sz w:val="32"/>
          <w:szCs w:val="32"/>
          <w:lang w:val="en-US" w:eastAsia="zh-CN"/>
        </w:rPr>
        <w:t>18.08</w:t>
      </w:r>
      <w:r>
        <w:rPr>
          <w:rFonts w:eastAsia="方正仿宋简体"/>
          <w:sz w:val="32"/>
          <w:szCs w:val="32"/>
        </w:rPr>
        <w:t>%；</w:t>
      </w:r>
      <w:r>
        <w:rPr>
          <w:rFonts w:hint="eastAsia" w:eastAsia="方正仿宋_GBK"/>
          <w:sz w:val="32"/>
          <w:szCs w:val="32"/>
        </w:rPr>
        <w:t>其中：税收收入</w:t>
      </w:r>
      <w:r>
        <w:rPr>
          <w:rFonts w:hint="eastAsia" w:eastAsia="方正仿宋_GBK"/>
          <w:sz w:val="32"/>
          <w:szCs w:val="32"/>
          <w:lang w:val="en-US" w:eastAsia="zh-CN"/>
        </w:rPr>
        <w:t>3.6</w:t>
      </w:r>
      <w:r>
        <w:rPr>
          <w:rFonts w:hint="eastAsia" w:eastAsia="方正仿宋_GBK"/>
          <w:sz w:val="32"/>
          <w:szCs w:val="32"/>
        </w:rPr>
        <w:t>亿元，</w:t>
      </w:r>
      <w:r>
        <w:rPr>
          <w:rFonts w:hint="eastAsia" w:eastAsia="方正仿宋简体"/>
          <w:bCs/>
          <w:color w:val="auto"/>
          <w:sz w:val="32"/>
          <w:szCs w:val="32"/>
        </w:rPr>
        <w:t>比上年</w:t>
      </w:r>
      <w:r>
        <w:rPr>
          <w:rFonts w:hint="eastAsia" w:eastAsia="方正仿宋_GBK"/>
          <w:sz w:val="32"/>
          <w:szCs w:val="32"/>
        </w:rPr>
        <w:t>增长</w:t>
      </w:r>
      <w:r>
        <w:rPr>
          <w:rFonts w:hint="eastAsia" w:eastAsia="方正仿宋_GBK"/>
          <w:sz w:val="32"/>
          <w:szCs w:val="32"/>
          <w:lang w:val="en-US" w:eastAsia="zh-CN"/>
        </w:rPr>
        <w:t>5.8</w:t>
      </w:r>
      <w:r>
        <w:rPr>
          <w:rFonts w:hint="eastAsia" w:eastAsia="方正仿宋_GBK"/>
          <w:sz w:val="32"/>
          <w:szCs w:val="32"/>
        </w:rPr>
        <w:t>%，</w:t>
      </w:r>
      <w:r>
        <w:rPr>
          <w:rFonts w:eastAsia="方正仿宋简体"/>
          <w:sz w:val="32"/>
          <w:szCs w:val="32"/>
        </w:rPr>
        <w:t>一般公共预算支出</w:t>
      </w:r>
      <w:r>
        <w:rPr>
          <w:rFonts w:hint="eastAsia" w:eastAsia="方正仿宋简体"/>
          <w:sz w:val="32"/>
          <w:szCs w:val="32"/>
          <w:lang w:val="en-US" w:eastAsia="zh-CN"/>
        </w:rPr>
        <w:t>49.74</w:t>
      </w:r>
      <w:r>
        <w:rPr>
          <w:rFonts w:eastAsia="方正仿宋简体"/>
          <w:sz w:val="32"/>
          <w:szCs w:val="32"/>
        </w:rPr>
        <w:t>亿元，</w:t>
      </w:r>
      <w:r>
        <w:rPr>
          <w:rFonts w:hint="eastAsia" w:eastAsia="方正仿宋简体"/>
          <w:bCs/>
          <w:color w:val="auto"/>
          <w:sz w:val="32"/>
          <w:szCs w:val="32"/>
        </w:rPr>
        <w:t>比上年</w:t>
      </w:r>
      <w:r>
        <w:rPr>
          <w:rFonts w:hint="eastAsia" w:eastAsia="方正仿宋简体"/>
          <w:sz w:val="32"/>
          <w:szCs w:val="32"/>
          <w:lang w:eastAsia="zh-CN"/>
        </w:rPr>
        <w:t>下降</w:t>
      </w:r>
      <w:r>
        <w:rPr>
          <w:rFonts w:hint="eastAsia" w:eastAsia="方正仿宋简体"/>
          <w:sz w:val="32"/>
          <w:szCs w:val="32"/>
          <w:lang w:val="en-US" w:eastAsia="zh-CN"/>
        </w:rPr>
        <w:t>7.27</w:t>
      </w:r>
      <w:r>
        <w:rPr>
          <w:rFonts w:eastAsia="方正仿宋简体"/>
          <w:sz w:val="32"/>
          <w:szCs w:val="32"/>
        </w:rPr>
        <w:t>%。</w:t>
      </w:r>
    </w:p>
    <w:p>
      <w:pPr>
        <w:pStyle w:val="2"/>
        <w:jc w:val="center"/>
      </w:pPr>
      <w:r>
        <w:drawing>
          <wp:inline distT="0" distB="0" distL="114300" distR="114300">
            <wp:extent cx="5017135" cy="3314065"/>
            <wp:effectExtent l="4445" t="4445" r="7620" b="15240"/>
            <wp:docPr id="8"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spacing w:line="620" w:lineRule="exact"/>
        <w:ind w:firstLine="640" w:firstLineChars="200"/>
        <w:rPr>
          <w:rFonts w:eastAsia="方正仿宋简体"/>
          <w:sz w:val="32"/>
          <w:szCs w:val="32"/>
        </w:rPr>
      </w:pPr>
      <w:r>
        <w:rPr>
          <w:rFonts w:hint="eastAsia" w:eastAsia="方正仿宋简体"/>
          <w:sz w:val="32"/>
          <w:szCs w:val="32"/>
          <w:lang w:val="zh-CN"/>
        </w:rPr>
        <w:t>年末</w:t>
      </w:r>
      <w:r>
        <w:rPr>
          <w:rFonts w:eastAsia="方正仿宋简体"/>
          <w:sz w:val="32"/>
          <w:szCs w:val="32"/>
          <w:lang w:val="zh-CN"/>
        </w:rPr>
        <w:t>金融机构各项存款余额</w:t>
      </w:r>
      <w:r>
        <w:rPr>
          <w:rFonts w:hint="eastAsia" w:eastAsia="方正仿宋简体"/>
          <w:sz w:val="32"/>
          <w:szCs w:val="32"/>
          <w:lang w:val="en-US" w:eastAsia="zh-CN"/>
        </w:rPr>
        <w:t>116.19</w:t>
      </w:r>
      <w:r>
        <w:rPr>
          <w:rFonts w:eastAsia="方正仿宋简体"/>
          <w:sz w:val="32"/>
          <w:szCs w:val="32"/>
        </w:rPr>
        <w:t>亿元</w:t>
      </w:r>
      <w:r>
        <w:rPr>
          <w:rFonts w:eastAsia="方正仿宋简体"/>
          <w:sz w:val="32"/>
          <w:szCs w:val="32"/>
          <w:lang w:val="zh-CN"/>
        </w:rPr>
        <w:t>，</w:t>
      </w:r>
      <w:r>
        <w:rPr>
          <w:rFonts w:hint="eastAsia" w:eastAsia="方正仿宋简体"/>
          <w:sz w:val="32"/>
          <w:szCs w:val="32"/>
          <w:lang w:val="zh-CN"/>
        </w:rPr>
        <w:t>比上年下降</w:t>
      </w:r>
      <w:r>
        <w:rPr>
          <w:rFonts w:hint="eastAsia" w:eastAsia="方正仿宋简体"/>
          <w:sz w:val="32"/>
          <w:szCs w:val="32"/>
          <w:lang w:val="en-US" w:eastAsia="zh-CN"/>
        </w:rPr>
        <w:t>6.2</w:t>
      </w:r>
      <w:r>
        <w:rPr>
          <w:rFonts w:eastAsia="方正仿宋简体"/>
          <w:sz w:val="32"/>
          <w:szCs w:val="32"/>
          <w:lang w:val="zh-CN"/>
        </w:rPr>
        <w:t>%</w:t>
      </w:r>
      <w:r>
        <w:rPr>
          <w:rFonts w:hint="eastAsia" w:eastAsia="方正仿宋简体"/>
          <w:sz w:val="32"/>
          <w:szCs w:val="32"/>
          <w:lang w:val="zh-CN"/>
        </w:rPr>
        <w:t>。其中：住户存款</w:t>
      </w:r>
      <w:r>
        <w:rPr>
          <w:rFonts w:hint="eastAsia" w:eastAsia="方正仿宋简体"/>
          <w:sz w:val="32"/>
          <w:szCs w:val="32"/>
          <w:lang w:val="en-US" w:eastAsia="zh-CN"/>
        </w:rPr>
        <w:t>68.4</w:t>
      </w:r>
      <w:r>
        <w:rPr>
          <w:rFonts w:hint="eastAsia" w:eastAsia="方正仿宋简体"/>
          <w:sz w:val="32"/>
          <w:szCs w:val="32"/>
        </w:rPr>
        <w:t>亿元，</w:t>
      </w:r>
      <w:r>
        <w:rPr>
          <w:rFonts w:hint="eastAsia" w:eastAsia="方正仿宋简体"/>
          <w:bCs/>
          <w:color w:val="auto"/>
          <w:sz w:val="32"/>
          <w:szCs w:val="32"/>
        </w:rPr>
        <w:t>比上年</w:t>
      </w:r>
      <w:r>
        <w:rPr>
          <w:rFonts w:hint="eastAsia" w:eastAsia="方正仿宋简体"/>
          <w:sz w:val="32"/>
          <w:szCs w:val="32"/>
        </w:rPr>
        <w:t>增长</w:t>
      </w:r>
      <w:r>
        <w:rPr>
          <w:rFonts w:hint="eastAsia" w:eastAsia="方正仿宋简体"/>
          <w:sz w:val="32"/>
          <w:szCs w:val="32"/>
          <w:lang w:val="en-US" w:eastAsia="zh-CN"/>
        </w:rPr>
        <w:t>6.2</w:t>
      </w:r>
      <w:r>
        <w:rPr>
          <w:rFonts w:hint="eastAsia" w:eastAsia="方正仿宋简体"/>
          <w:sz w:val="32"/>
          <w:szCs w:val="32"/>
        </w:rPr>
        <w:t>%；非金融企业存款</w:t>
      </w:r>
      <w:r>
        <w:rPr>
          <w:rFonts w:hint="eastAsia" w:eastAsia="方正仿宋简体"/>
          <w:sz w:val="32"/>
          <w:szCs w:val="32"/>
          <w:lang w:val="en-US" w:eastAsia="zh-CN"/>
        </w:rPr>
        <w:t>13.12</w:t>
      </w:r>
      <w:r>
        <w:rPr>
          <w:rFonts w:hint="eastAsia" w:eastAsia="方正仿宋简体"/>
          <w:sz w:val="32"/>
          <w:szCs w:val="32"/>
        </w:rPr>
        <w:t>亿元，</w:t>
      </w:r>
      <w:r>
        <w:rPr>
          <w:rFonts w:hint="eastAsia" w:eastAsia="方正仿宋简体"/>
          <w:bCs/>
          <w:color w:val="auto"/>
          <w:sz w:val="32"/>
          <w:szCs w:val="32"/>
        </w:rPr>
        <w:t>比上年</w:t>
      </w:r>
      <w:r>
        <w:rPr>
          <w:rFonts w:hint="eastAsia" w:eastAsia="方正仿宋简体"/>
          <w:sz w:val="32"/>
          <w:szCs w:val="32"/>
          <w:lang w:eastAsia="zh-CN"/>
        </w:rPr>
        <w:t>下降</w:t>
      </w:r>
      <w:r>
        <w:rPr>
          <w:rFonts w:hint="eastAsia" w:eastAsia="方正仿宋简体"/>
          <w:sz w:val="32"/>
          <w:szCs w:val="32"/>
          <w:lang w:val="en-US" w:eastAsia="zh-CN"/>
        </w:rPr>
        <w:t>24.6</w:t>
      </w:r>
      <w:r>
        <w:rPr>
          <w:rFonts w:hint="eastAsia" w:eastAsia="方正仿宋简体"/>
          <w:sz w:val="32"/>
          <w:szCs w:val="32"/>
        </w:rPr>
        <w:t>%。年末</w:t>
      </w:r>
      <w:r>
        <w:rPr>
          <w:rFonts w:eastAsia="方正仿宋简体"/>
          <w:sz w:val="32"/>
          <w:szCs w:val="32"/>
          <w:lang w:val="zh-CN"/>
        </w:rPr>
        <w:t>金融机构各项贷款余额</w:t>
      </w:r>
      <w:r>
        <w:rPr>
          <w:rFonts w:hint="eastAsia" w:eastAsia="方正仿宋简体"/>
          <w:sz w:val="32"/>
          <w:szCs w:val="32"/>
          <w:lang w:val="en-US" w:eastAsia="zh-CN"/>
        </w:rPr>
        <w:t>76.08</w:t>
      </w:r>
      <w:r>
        <w:rPr>
          <w:rFonts w:eastAsia="方正仿宋简体"/>
          <w:sz w:val="32"/>
          <w:szCs w:val="32"/>
        </w:rPr>
        <w:t>亿元</w:t>
      </w:r>
      <w:r>
        <w:rPr>
          <w:rFonts w:eastAsia="方正仿宋简体"/>
          <w:sz w:val="32"/>
          <w:szCs w:val="32"/>
          <w:lang w:val="zh-CN"/>
        </w:rPr>
        <w:t>，</w:t>
      </w:r>
      <w:r>
        <w:rPr>
          <w:rFonts w:hint="eastAsia" w:eastAsia="方正仿宋简体"/>
          <w:sz w:val="32"/>
          <w:szCs w:val="32"/>
          <w:lang w:val="zh-CN"/>
        </w:rPr>
        <w:t>比上年</w:t>
      </w:r>
      <w:r>
        <w:rPr>
          <w:rFonts w:eastAsia="方正仿宋简体"/>
          <w:color w:val="auto"/>
          <w:sz w:val="32"/>
          <w:szCs w:val="32"/>
          <w:lang w:val="zh-CN"/>
        </w:rPr>
        <w:t>增长</w:t>
      </w:r>
      <w:r>
        <w:rPr>
          <w:rFonts w:hint="eastAsia" w:eastAsia="方正仿宋简体"/>
          <w:color w:val="auto"/>
          <w:sz w:val="32"/>
          <w:szCs w:val="32"/>
          <w:lang w:val="en-US" w:eastAsia="zh-CN"/>
        </w:rPr>
        <w:t>10.9</w:t>
      </w:r>
      <w:r>
        <w:rPr>
          <w:rFonts w:eastAsia="方正仿宋简体"/>
          <w:color w:val="auto"/>
          <w:sz w:val="32"/>
          <w:szCs w:val="32"/>
          <w:lang w:val="zh-CN"/>
        </w:rPr>
        <w:t>%</w:t>
      </w:r>
      <w:r>
        <w:rPr>
          <w:rFonts w:hint="eastAsia" w:eastAsia="方正仿宋简体"/>
          <w:color w:val="auto"/>
          <w:sz w:val="32"/>
          <w:szCs w:val="32"/>
          <w:lang w:val="zh-CN"/>
        </w:rPr>
        <w:t>。其中</w:t>
      </w:r>
      <w:r>
        <w:rPr>
          <w:rFonts w:hint="eastAsia" w:eastAsia="方正仿宋简体"/>
          <w:sz w:val="32"/>
          <w:szCs w:val="32"/>
          <w:lang w:val="zh-CN"/>
        </w:rPr>
        <w:t>：住户贷款</w:t>
      </w:r>
      <w:r>
        <w:rPr>
          <w:rFonts w:hint="eastAsia" w:eastAsia="方正仿宋简体"/>
          <w:sz w:val="32"/>
          <w:szCs w:val="32"/>
        </w:rPr>
        <w:t>3</w:t>
      </w:r>
      <w:r>
        <w:rPr>
          <w:rFonts w:hint="eastAsia" w:eastAsia="方正仿宋简体"/>
          <w:sz w:val="32"/>
          <w:szCs w:val="32"/>
          <w:lang w:val="en-US" w:eastAsia="zh-CN"/>
        </w:rPr>
        <w:t>7.49</w:t>
      </w:r>
      <w:r>
        <w:rPr>
          <w:rFonts w:hint="eastAsia" w:eastAsia="方正仿宋简体"/>
          <w:sz w:val="32"/>
          <w:szCs w:val="32"/>
        </w:rPr>
        <w:t>亿元，</w:t>
      </w:r>
      <w:r>
        <w:rPr>
          <w:rFonts w:hint="eastAsia" w:eastAsia="方正仿宋简体"/>
          <w:bCs/>
          <w:color w:val="auto"/>
          <w:sz w:val="32"/>
          <w:szCs w:val="32"/>
        </w:rPr>
        <w:t>比上年</w:t>
      </w:r>
      <w:r>
        <w:rPr>
          <w:rFonts w:hint="eastAsia" w:eastAsia="方正仿宋简体"/>
          <w:sz w:val="32"/>
          <w:szCs w:val="32"/>
        </w:rPr>
        <w:t>增长</w:t>
      </w:r>
      <w:r>
        <w:rPr>
          <w:rFonts w:hint="eastAsia" w:eastAsia="方正仿宋简体"/>
          <w:sz w:val="32"/>
          <w:szCs w:val="32"/>
          <w:lang w:val="en-US" w:eastAsia="zh-CN"/>
        </w:rPr>
        <w:t>12</w:t>
      </w:r>
      <w:r>
        <w:rPr>
          <w:rFonts w:hint="eastAsia" w:eastAsia="方正仿宋简体"/>
          <w:sz w:val="32"/>
          <w:szCs w:val="32"/>
        </w:rPr>
        <w:t>%；企（事）业贷款</w:t>
      </w:r>
      <w:r>
        <w:rPr>
          <w:rFonts w:hint="eastAsia" w:eastAsia="方正仿宋简体"/>
          <w:sz w:val="32"/>
          <w:szCs w:val="32"/>
          <w:lang w:val="en-US" w:eastAsia="zh-CN"/>
        </w:rPr>
        <w:t>38.59</w:t>
      </w:r>
      <w:r>
        <w:rPr>
          <w:rFonts w:hint="eastAsia" w:eastAsia="方正仿宋简体"/>
          <w:sz w:val="32"/>
          <w:szCs w:val="32"/>
        </w:rPr>
        <w:t>亿元，</w:t>
      </w:r>
      <w:r>
        <w:rPr>
          <w:rFonts w:hint="eastAsia" w:eastAsia="方正仿宋简体"/>
          <w:bCs/>
          <w:color w:val="auto"/>
          <w:sz w:val="32"/>
          <w:szCs w:val="32"/>
        </w:rPr>
        <w:t>比上年</w:t>
      </w:r>
      <w:r>
        <w:rPr>
          <w:rFonts w:hint="eastAsia" w:eastAsia="方正仿宋简体"/>
          <w:sz w:val="32"/>
          <w:szCs w:val="32"/>
        </w:rPr>
        <w:t>增长</w:t>
      </w:r>
      <w:r>
        <w:rPr>
          <w:rFonts w:hint="eastAsia" w:eastAsia="方正仿宋简体"/>
          <w:sz w:val="32"/>
          <w:szCs w:val="32"/>
          <w:lang w:val="en-US" w:eastAsia="zh-CN"/>
        </w:rPr>
        <w:t>9.9</w:t>
      </w:r>
      <w:r>
        <w:rPr>
          <w:rFonts w:hint="eastAsia" w:eastAsia="方正仿宋简体"/>
          <w:sz w:val="32"/>
          <w:szCs w:val="32"/>
        </w:rPr>
        <w:t>%</w:t>
      </w:r>
      <w:r>
        <w:rPr>
          <w:rFonts w:hint="eastAsia" w:eastAsia="方正仿宋简体"/>
          <w:sz w:val="32"/>
          <w:szCs w:val="32"/>
          <w:lang w:val="zh-CN"/>
        </w:rPr>
        <w:t>。</w:t>
      </w:r>
      <w:r>
        <w:rPr>
          <w:rFonts w:eastAsia="方正仿宋简体"/>
          <w:sz w:val="32"/>
          <w:szCs w:val="32"/>
          <w:lang w:val="zh-CN"/>
        </w:rPr>
        <w:t>存贷比为</w:t>
      </w:r>
      <w:r>
        <w:rPr>
          <w:rFonts w:hint="eastAsia" w:eastAsia="方正仿宋简体"/>
          <w:sz w:val="32"/>
          <w:szCs w:val="32"/>
          <w:lang w:val="en-US" w:eastAsia="zh-CN"/>
        </w:rPr>
        <w:t>65.48</w:t>
      </w:r>
      <w:r>
        <w:rPr>
          <w:rFonts w:eastAsia="方正仿宋简体"/>
          <w:sz w:val="32"/>
          <w:szCs w:val="32"/>
        </w:rPr>
        <w:t>%，较上年</w:t>
      </w:r>
      <w:r>
        <w:rPr>
          <w:rFonts w:hint="eastAsia" w:eastAsia="方正仿宋简体"/>
          <w:sz w:val="32"/>
          <w:szCs w:val="32"/>
        </w:rPr>
        <w:t>同期上升</w:t>
      </w:r>
      <w:r>
        <w:rPr>
          <w:rFonts w:hint="eastAsia" w:eastAsia="方正仿宋简体"/>
          <w:sz w:val="32"/>
          <w:szCs w:val="32"/>
          <w:lang w:val="en-US" w:eastAsia="zh-CN"/>
        </w:rPr>
        <w:t>10.12</w:t>
      </w:r>
      <w:r>
        <w:rPr>
          <w:rFonts w:eastAsia="方正仿宋简体"/>
          <w:sz w:val="32"/>
          <w:szCs w:val="32"/>
        </w:rPr>
        <w:t>个百分点。</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全年保险公司各项保费收入</w:t>
      </w:r>
      <w:r>
        <w:rPr>
          <w:rFonts w:hint="eastAsia" w:eastAsia="方正仿宋简体"/>
          <w:color w:val="auto"/>
          <w:sz w:val="32"/>
          <w:szCs w:val="32"/>
          <w:lang w:val="en-US" w:eastAsia="zh-CN"/>
        </w:rPr>
        <w:t>15065</w:t>
      </w:r>
      <w:r>
        <w:rPr>
          <w:rFonts w:hint="eastAsia" w:eastAsia="方正仿宋简体"/>
          <w:color w:val="auto"/>
          <w:sz w:val="32"/>
          <w:szCs w:val="32"/>
        </w:rPr>
        <w:t>万元，比上年增长</w:t>
      </w:r>
      <w:r>
        <w:rPr>
          <w:rFonts w:hint="eastAsia" w:eastAsia="方正仿宋简体"/>
          <w:color w:val="auto"/>
          <w:sz w:val="32"/>
          <w:szCs w:val="32"/>
          <w:lang w:val="en-US" w:eastAsia="zh-CN"/>
        </w:rPr>
        <w:t>13</w:t>
      </w:r>
      <w:r>
        <w:rPr>
          <w:rFonts w:hint="eastAsia" w:eastAsia="方正仿宋简体"/>
          <w:color w:val="auto"/>
          <w:sz w:val="32"/>
          <w:szCs w:val="32"/>
        </w:rPr>
        <w:t>%。其中：人寿险保费收入</w:t>
      </w:r>
      <w:r>
        <w:rPr>
          <w:rFonts w:hint="eastAsia" w:eastAsia="方正仿宋简体"/>
          <w:color w:val="auto"/>
          <w:sz w:val="32"/>
          <w:szCs w:val="32"/>
          <w:lang w:val="en-US" w:eastAsia="zh-CN"/>
        </w:rPr>
        <w:t>2289</w:t>
      </w:r>
      <w:r>
        <w:rPr>
          <w:rFonts w:hint="eastAsia" w:eastAsia="方正仿宋简体"/>
          <w:color w:val="auto"/>
          <w:sz w:val="32"/>
          <w:szCs w:val="32"/>
        </w:rPr>
        <w:t>万元，</w:t>
      </w:r>
      <w:r>
        <w:rPr>
          <w:rFonts w:hint="eastAsia" w:eastAsia="方正仿宋简体"/>
          <w:bCs/>
          <w:color w:val="auto"/>
          <w:sz w:val="32"/>
          <w:szCs w:val="32"/>
        </w:rPr>
        <w:t>比上年</w:t>
      </w:r>
      <w:r>
        <w:rPr>
          <w:rFonts w:hint="eastAsia" w:eastAsia="方正仿宋简体"/>
          <w:color w:val="auto"/>
          <w:sz w:val="32"/>
          <w:szCs w:val="32"/>
        </w:rPr>
        <w:t>增长</w:t>
      </w:r>
      <w:r>
        <w:rPr>
          <w:rFonts w:hint="eastAsia" w:eastAsia="方正仿宋简体"/>
          <w:color w:val="auto"/>
          <w:sz w:val="32"/>
          <w:szCs w:val="32"/>
          <w:lang w:val="en-US" w:eastAsia="zh-CN"/>
        </w:rPr>
        <w:t>16.7</w:t>
      </w:r>
      <w:r>
        <w:rPr>
          <w:rFonts w:hint="eastAsia" w:eastAsia="方正仿宋简体"/>
          <w:color w:val="auto"/>
          <w:sz w:val="32"/>
          <w:szCs w:val="32"/>
        </w:rPr>
        <w:t>%，财产险保费收入</w:t>
      </w:r>
      <w:r>
        <w:rPr>
          <w:rFonts w:hint="eastAsia" w:eastAsia="方正仿宋简体"/>
          <w:color w:val="auto"/>
          <w:sz w:val="32"/>
          <w:szCs w:val="32"/>
          <w:lang w:val="en-US" w:eastAsia="zh-CN"/>
        </w:rPr>
        <w:t>12776</w:t>
      </w:r>
      <w:r>
        <w:rPr>
          <w:rFonts w:hint="eastAsia" w:eastAsia="方正仿宋简体"/>
          <w:color w:val="auto"/>
          <w:sz w:val="32"/>
          <w:szCs w:val="32"/>
        </w:rPr>
        <w:t>万元，</w:t>
      </w:r>
      <w:r>
        <w:rPr>
          <w:rFonts w:hint="eastAsia" w:eastAsia="方正仿宋简体"/>
          <w:bCs/>
          <w:color w:val="auto"/>
          <w:sz w:val="32"/>
          <w:szCs w:val="32"/>
        </w:rPr>
        <w:t>比上年</w:t>
      </w:r>
      <w:r>
        <w:rPr>
          <w:rFonts w:hint="eastAsia" w:eastAsia="方正仿宋简体"/>
          <w:color w:val="auto"/>
          <w:sz w:val="32"/>
          <w:szCs w:val="32"/>
        </w:rPr>
        <w:t>增长</w:t>
      </w:r>
      <w:r>
        <w:rPr>
          <w:rFonts w:hint="eastAsia" w:eastAsia="方正仿宋简体"/>
          <w:color w:val="auto"/>
          <w:sz w:val="32"/>
          <w:szCs w:val="32"/>
          <w:lang w:val="en-US" w:eastAsia="zh-CN"/>
        </w:rPr>
        <w:t>12.3</w:t>
      </w:r>
      <w:r>
        <w:rPr>
          <w:rFonts w:hint="eastAsia" w:eastAsia="方正仿宋简体"/>
          <w:color w:val="auto"/>
          <w:sz w:val="32"/>
          <w:szCs w:val="32"/>
        </w:rPr>
        <w:t>%。</w:t>
      </w:r>
    </w:p>
    <w:p>
      <w:pPr>
        <w:pStyle w:val="2"/>
        <w:spacing w:beforeLines="100" w:afterLines="100" w:line="620" w:lineRule="exact"/>
        <w:jc w:val="center"/>
        <w:rPr>
          <w:rFonts w:ascii="方正黑体简体" w:hAnsi="方正黑体简体" w:eastAsia="方正黑体简体" w:cs="方正黑体简体"/>
          <w:b w:val="0"/>
          <w:bCs/>
        </w:rPr>
      </w:pPr>
      <w:r>
        <w:rPr>
          <w:rFonts w:hint="eastAsia" w:ascii="方正黑体简体" w:hAnsi="方正黑体简体" w:eastAsia="方正黑体简体" w:cs="方正黑体简体"/>
          <w:b w:val="0"/>
          <w:bCs/>
          <w:szCs w:val="32"/>
        </w:rPr>
        <w:t>八、人民生活和社会保障</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202</w:t>
      </w:r>
      <w:r>
        <w:rPr>
          <w:rFonts w:hint="eastAsia" w:eastAsia="方正仿宋简体"/>
          <w:color w:val="auto"/>
          <w:sz w:val="32"/>
          <w:szCs w:val="32"/>
          <w:lang w:val="en-US" w:eastAsia="zh-CN"/>
        </w:rPr>
        <w:t>4</w:t>
      </w:r>
      <w:r>
        <w:rPr>
          <w:rFonts w:hint="eastAsia" w:eastAsia="方正仿宋简体"/>
          <w:color w:val="auto"/>
          <w:sz w:val="32"/>
          <w:szCs w:val="32"/>
        </w:rPr>
        <w:t>年，城镇居民人均可支配收入</w:t>
      </w:r>
      <w:r>
        <w:rPr>
          <w:rFonts w:hint="eastAsia" w:eastAsia="方正仿宋简体"/>
          <w:color w:val="auto"/>
          <w:sz w:val="32"/>
          <w:szCs w:val="32"/>
          <w:lang w:val="en-US" w:eastAsia="zh-CN"/>
        </w:rPr>
        <w:t>30933</w:t>
      </w:r>
      <w:r>
        <w:rPr>
          <w:rFonts w:hint="eastAsia" w:eastAsia="方正仿宋简体"/>
          <w:color w:val="auto"/>
          <w:sz w:val="32"/>
          <w:szCs w:val="32"/>
        </w:rPr>
        <w:t>元，比上年增长4</w:t>
      </w:r>
      <w:r>
        <w:rPr>
          <w:rFonts w:hint="eastAsia" w:eastAsia="方正仿宋简体"/>
          <w:color w:val="auto"/>
          <w:sz w:val="32"/>
          <w:szCs w:val="32"/>
          <w:lang w:val="en-US" w:eastAsia="zh-CN"/>
        </w:rPr>
        <w:t>.5</w:t>
      </w:r>
      <w:r>
        <w:rPr>
          <w:rFonts w:hint="eastAsia" w:eastAsia="方正仿宋简体"/>
          <w:color w:val="auto"/>
          <w:sz w:val="32"/>
          <w:szCs w:val="32"/>
        </w:rPr>
        <w:t>%。农村居民人均可支配收入</w:t>
      </w:r>
      <w:r>
        <w:rPr>
          <w:rFonts w:hint="eastAsia" w:eastAsia="方正仿宋简体"/>
          <w:color w:val="auto"/>
          <w:sz w:val="32"/>
          <w:szCs w:val="32"/>
          <w:lang w:val="en-US" w:eastAsia="zh-CN"/>
        </w:rPr>
        <w:t>13942</w:t>
      </w:r>
      <w:r>
        <w:rPr>
          <w:rFonts w:hint="eastAsia" w:eastAsia="方正仿宋简体"/>
          <w:color w:val="auto"/>
          <w:sz w:val="32"/>
          <w:szCs w:val="32"/>
        </w:rPr>
        <w:t>元，比上年增长8.</w:t>
      </w:r>
      <w:r>
        <w:rPr>
          <w:rFonts w:hint="eastAsia" w:eastAsia="方正仿宋简体"/>
          <w:color w:val="auto"/>
          <w:sz w:val="32"/>
          <w:szCs w:val="32"/>
          <w:lang w:val="en-US" w:eastAsia="zh-CN"/>
        </w:rPr>
        <w:t>5</w:t>
      </w:r>
      <w:r>
        <w:rPr>
          <w:rFonts w:hint="eastAsia" w:eastAsia="方正仿宋简体"/>
          <w:color w:val="auto"/>
          <w:sz w:val="32"/>
          <w:szCs w:val="32"/>
        </w:rPr>
        <w:t>%。</w:t>
      </w:r>
    </w:p>
    <w:p>
      <w:pPr>
        <w:spacing w:line="620" w:lineRule="exact"/>
        <w:ind w:left="19" w:leftChars="9" w:firstLine="617" w:firstLineChars="193"/>
        <w:jc w:val="both"/>
        <w:rPr>
          <w:rFonts w:eastAsia="方正仿宋简体"/>
          <w:color w:val="auto"/>
          <w:sz w:val="32"/>
          <w:szCs w:val="32"/>
          <w:highlight w:val="none"/>
        </w:rPr>
      </w:pPr>
      <w:r>
        <w:rPr>
          <w:rFonts w:hint="eastAsia" w:eastAsia="方正仿宋简体"/>
          <w:color w:val="auto"/>
          <w:sz w:val="32"/>
          <w:szCs w:val="32"/>
        </w:rPr>
        <w:t>年末城镇职工基本养老保险参保人数</w:t>
      </w:r>
      <w:r>
        <w:rPr>
          <w:rFonts w:hint="eastAsia" w:eastAsia="方正仿宋简体"/>
          <w:color w:val="auto"/>
          <w:sz w:val="32"/>
          <w:szCs w:val="32"/>
          <w:lang w:val="en-US" w:eastAsia="zh-CN"/>
        </w:rPr>
        <w:t>32775</w:t>
      </w:r>
      <w:r>
        <w:rPr>
          <w:rFonts w:hint="eastAsia" w:eastAsia="方正仿宋简体"/>
          <w:color w:val="auto"/>
          <w:sz w:val="32"/>
          <w:szCs w:val="32"/>
        </w:rPr>
        <w:t>人，比上年增长</w:t>
      </w:r>
      <w:r>
        <w:rPr>
          <w:rFonts w:hint="eastAsia" w:eastAsia="方正仿宋简体"/>
          <w:color w:val="auto"/>
          <w:sz w:val="32"/>
          <w:szCs w:val="32"/>
          <w:lang w:val="en-US" w:eastAsia="zh-CN"/>
        </w:rPr>
        <w:t xml:space="preserve"> 1896</w:t>
      </w:r>
      <w:r>
        <w:rPr>
          <w:rFonts w:hint="eastAsia" w:eastAsia="方正仿宋简体"/>
          <w:color w:val="auto"/>
          <w:sz w:val="32"/>
          <w:szCs w:val="32"/>
        </w:rPr>
        <w:t>人；城乡居民基本养老保险参保人数</w:t>
      </w:r>
      <w:r>
        <w:rPr>
          <w:rFonts w:hint="eastAsia" w:eastAsia="方正仿宋简体"/>
          <w:color w:val="auto"/>
          <w:sz w:val="32"/>
          <w:szCs w:val="32"/>
          <w:lang w:val="en-US" w:eastAsia="zh-CN"/>
        </w:rPr>
        <w:t>194211</w:t>
      </w:r>
      <w:r>
        <w:rPr>
          <w:rFonts w:hint="eastAsia" w:eastAsia="方正仿宋简体"/>
          <w:color w:val="auto"/>
          <w:sz w:val="32"/>
          <w:szCs w:val="32"/>
        </w:rPr>
        <w:t>人，比上年增长</w:t>
      </w:r>
      <w:r>
        <w:rPr>
          <w:rFonts w:hint="eastAsia" w:eastAsia="方正仿宋简体"/>
          <w:color w:val="auto"/>
          <w:sz w:val="32"/>
          <w:szCs w:val="32"/>
          <w:lang w:val="en-US" w:eastAsia="zh-CN"/>
        </w:rPr>
        <w:t>2737</w:t>
      </w:r>
      <w:r>
        <w:rPr>
          <w:rFonts w:hint="eastAsia" w:eastAsia="方正仿宋简体"/>
          <w:color w:val="auto"/>
          <w:sz w:val="32"/>
          <w:szCs w:val="32"/>
        </w:rPr>
        <w:t>人；基本医疗保险参保人数</w:t>
      </w:r>
      <w:r>
        <w:rPr>
          <w:rFonts w:hint="eastAsia" w:eastAsia="方正仿宋简体"/>
          <w:color w:val="auto"/>
          <w:sz w:val="32"/>
          <w:szCs w:val="32"/>
          <w:lang w:val="en-US" w:eastAsia="zh-CN"/>
        </w:rPr>
        <w:t>373434</w:t>
      </w:r>
      <w:r>
        <w:rPr>
          <w:rFonts w:hint="eastAsia" w:eastAsia="方正仿宋简体"/>
          <w:color w:val="auto"/>
          <w:sz w:val="32"/>
          <w:szCs w:val="32"/>
        </w:rPr>
        <w:t>人，比上年增长</w:t>
      </w:r>
      <w:r>
        <w:rPr>
          <w:rFonts w:hint="eastAsia" w:eastAsia="方正仿宋简体"/>
          <w:color w:val="auto"/>
          <w:sz w:val="32"/>
          <w:szCs w:val="32"/>
          <w:lang w:val="en-US" w:eastAsia="zh-CN"/>
        </w:rPr>
        <w:t>898</w:t>
      </w:r>
      <w:r>
        <w:rPr>
          <w:rFonts w:hint="eastAsia" w:eastAsia="方正仿宋简体"/>
          <w:color w:val="auto"/>
          <w:sz w:val="32"/>
          <w:szCs w:val="32"/>
        </w:rPr>
        <w:t>人；工伤保险参保人数</w:t>
      </w:r>
      <w:r>
        <w:rPr>
          <w:rFonts w:hint="eastAsia" w:eastAsia="方正仿宋简体"/>
          <w:color w:val="auto"/>
          <w:sz w:val="32"/>
          <w:szCs w:val="32"/>
          <w:lang w:val="en-US" w:eastAsia="zh-CN"/>
        </w:rPr>
        <w:t>29584</w:t>
      </w:r>
      <w:r>
        <w:rPr>
          <w:rFonts w:hint="eastAsia" w:eastAsia="方正仿宋简体"/>
          <w:color w:val="auto"/>
          <w:sz w:val="32"/>
          <w:szCs w:val="32"/>
        </w:rPr>
        <w:t>人，比上年增长</w:t>
      </w:r>
      <w:r>
        <w:rPr>
          <w:rFonts w:hint="eastAsia" w:eastAsia="方正仿宋简体"/>
          <w:color w:val="auto"/>
          <w:sz w:val="32"/>
          <w:szCs w:val="32"/>
          <w:lang w:val="en-US" w:eastAsia="zh-CN"/>
        </w:rPr>
        <w:t>2094</w:t>
      </w:r>
      <w:r>
        <w:rPr>
          <w:rFonts w:hint="eastAsia" w:eastAsia="方正仿宋简体"/>
          <w:color w:val="auto"/>
          <w:sz w:val="32"/>
          <w:szCs w:val="32"/>
        </w:rPr>
        <w:t>人；</w:t>
      </w:r>
      <w:r>
        <w:rPr>
          <w:rFonts w:hint="eastAsia" w:eastAsia="方正仿宋简体"/>
          <w:color w:val="auto"/>
          <w:sz w:val="32"/>
          <w:szCs w:val="32"/>
          <w:highlight w:val="none"/>
        </w:rPr>
        <w:t>失业保险参保人数</w:t>
      </w:r>
      <w:r>
        <w:rPr>
          <w:rFonts w:hint="eastAsia" w:eastAsia="方正仿宋简体"/>
          <w:color w:val="auto"/>
          <w:sz w:val="32"/>
          <w:szCs w:val="32"/>
          <w:highlight w:val="none"/>
          <w:lang w:val="en-US" w:eastAsia="zh-CN"/>
        </w:rPr>
        <w:t>22617</w:t>
      </w:r>
      <w:r>
        <w:rPr>
          <w:rFonts w:hint="eastAsia" w:eastAsia="方正仿宋简体"/>
          <w:color w:val="auto"/>
          <w:sz w:val="32"/>
          <w:szCs w:val="32"/>
          <w:highlight w:val="none"/>
        </w:rPr>
        <w:t>人，比上年</w:t>
      </w:r>
      <w:r>
        <w:rPr>
          <w:rFonts w:hint="eastAsia" w:eastAsia="方正仿宋简体"/>
          <w:color w:val="auto"/>
          <w:sz w:val="32"/>
          <w:szCs w:val="32"/>
          <w:highlight w:val="none"/>
          <w:lang w:eastAsia="zh-CN"/>
        </w:rPr>
        <w:t>减少</w:t>
      </w:r>
      <w:r>
        <w:rPr>
          <w:rFonts w:hint="eastAsia" w:eastAsia="方正仿宋简体"/>
          <w:color w:val="auto"/>
          <w:sz w:val="32"/>
          <w:szCs w:val="32"/>
          <w:highlight w:val="none"/>
          <w:lang w:val="en-US" w:eastAsia="zh-CN"/>
        </w:rPr>
        <w:t>713</w:t>
      </w:r>
      <w:r>
        <w:rPr>
          <w:rFonts w:hint="eastAsia" w:eastAsia="方正仿宋简体"/>
          <w:color w:val="auto"/>
          <w:sz w:val="32"/>
          <w:szCs w:val="32"/>
          <w:highlight w:val="none"/>
        </w:rPr>
        <w:t>人。</w:t>
      </w:r>
    </w:p>
    <w:p>
      <w:pPr>
        <w:spacing w:line="620" w:lineRule="exact"/>
        <w:ind w:firstLine="640" w:firstLineChars="200"/>
        <w:jc w:val="both"/>
        <w:rPr>
          <w:rFonts w:eastAsia="方正仿宋简体"/>
          <w:color w:val="auto"/>
          <w:sz w:val="32"/>
          <w:szCs w:val="32"/>
          <w:highlight w:val="none"/>
        </w:rPr>
      </w:pPr>
      <w:r>
        <w:rPr>
          <w:rFonts w:hint="eastAsia" w:eastAsia="方正仿宋简体"/>
          <w:color w:val="auto"/>
          <w:sz w:val="32"/>
          <w:szCs w:val="32"/>
          <w:highlight w:val="none"/>
        </w:rPr>
        <w:t>特困人员救助供养机构数</w:t>
      </w:r>
      <w:r>
        <w:rPr>
          <w:rFonts w:hint="eastAsia" w:eastAsia="方正仿宋简体"/>
          <w:color w:val="auto"/>
          <w:sz w:val="32"/>
          <w:szCs w:val="32"/>
          <w:highlight w:val="none"/>
          <w:lang w:val="en-US" w:eastAsia="zh-CN"/>
        </w:rPr>
        <w:t>5</w:t>
      </w:r>
      <w:r>
        <w:rPr>
          <w:rFonts w:hint="eastAsia" w:eastAsia="方正仿宋简体"/>
          <w:color w:val="auto"/>
          <w:sz w:val="32"/>
          <w:szCs w:val="32"/>
          <w:highlight w:val="none"/>
        </w:rPr>
        <w:t>个，床位数</w:t>
      </w:r>
      <w:r>
        <w:rPr>
          <w:rFonts w:hint="eastAsia" w:eastAsia="方正仿宋简体"/>
          <w:color w:val="auto"/>
          <w:sz w:val="32"/>
          <w:szCs w:val="32"/>
          <w:highlight w:val="none"/>
          <w:lang w:val="en-US" w:eastAsia="zh-CN"/>
        </w:rPr>
        <w:t>362</w:t>
      </w:r>
      <w:r>
        <w:rPr>
          <w:rFonts w:hint="eastAsia" w:eastAsia="方正仿宋简体"/>
          <w:color w:val="auto"/>
          <w:sz w:val="32"/>
          <w:szCs w:val="32"/>
          <w:highlight w:val="none"/>
        </w:rPr>
        <w:t>张；儿童福利院</w:t>
      </w:r>
      <w:r>
        <w:rPr>
          <w:rFonts w:hint="eastAsia" w:eastAsia="方正仿宋简体"/>
          <w:color w:val="auto"/>
          <w:sz w:val="32"/>
          <w:szCs w:val="32"/>
          <w:highlight w:val="none"/>
          <w:lang w:val="en-US" w:eastAsia="zh-CN"/>
        </w:rPr>
        <w:t>1</w:t>
      </w:r>
      <w:r>
        <w:rPr>
          <w:rFonts w:hint="eastAsia" w:eastAsia="方正仿宋简体"/>
          <w:color w:val="auto"/>
          <w:sz w:val="32"/>
          <w:szCs w:val="32"/>
          <w:highlight w:val="none"/>
        </w:rPr>
        <w:t>个，床位数</w:t>
      </w:r>
      <w:r>
        <w:rPr>
          <w:rFonts w:hint="eastAsia" w:eastAsia="方正仿宋简体"/>
          <w:color w:val="auto"/>
          <w:sz w:val="32"/>
          <w:szCs w:val="32"/>
          <w:highlight w:val="none"/>
          <w:lang w:val="en-US" w:eastAsia="zh-CN"/>
        </w:rPr>
        <w:t>484</w:t>
      </w:r>
      <w:r>
        <w:rPr>
          <w:rFonts w:hint="eastAsia" w:eastAsia="方正仿宋简体"/>
          <w:color w:val="auto"/>
          <w:sz w:val="32"/>
          <w:szCs w:val="32"/>
          <w:highlight w:val="none"/>
          <w:lang w:eastAsia="zh-CN"/>
        </w:rPr>
        <w:t>，</w:t>
      </w:r>
      <w:r>
        <w:rPr>
          <w:rFonts w:hint="eastAsia" w:eastAsia="方正仿宋简体"/>
          <w:color w:val="auto"/>
          <w:sz w:val="32"/>
          <w:szCs w:val="32"/>
          <w:highlight w:val="none"/>
        </w:rPr>
        <w:t>救助站</w:t>
      </w:r>
      <w:r>
        <w:rPr>
          <w:rFonts w:hint="eastAsia" w:eastAsia="方正仿宋简体"/>
          <w:color w:val="auto"/>
          <w:sz w:val="32"/>
          <w:szCs w:val="32"/>
          <w:highlight w:val="none"/>
          <w:lang w:val="en-US" w:eastAsia="zh-CN"/>
        </w:rPr>
        <w:t>1</w:t>
      </w:r>
      <w:r>
        <w:rPr>
          <w:rFonts w:hint="eastAsia" w:eastAsia="方正仿宋简体"/>
          <w:color w:val="auto"/>
          <w:sz w:val="32"/>
          <w:szCs w:val="32"/>
          <w:highlight w:val="none"/>
        </w:rPr>
        <w:t>个，床位数</w:t>
      </w:r>
      <w:r>
        <w:rPr>
          <w:rFonts w:hint="eastAsia" w:eastAsia="方正仿宋简体"/>
          <w:color w:val="auto"/>
          <w:sz w:val="32"/>
          <w:szCs w:val="32"/>
          <w:highlight w:val="none"/>
          <w:lang w:val="en-US" w:eastAsia="zh-CN"/>
        </w:rPr>
        <w:t>12</w:t>
      </w:r>
      <w:r>
        <w:rPr>
          <w:rFonts w:hint="eastAsia" w:eastAsia="方正仿宋简体"/>
          <w:color w:val="auto"/>
          <w:sz w:val="32"/>
          <w:szCs w:val="32"/>
          <w:highlight w:val="none"/>
        </w:rPr>
        <w:t>张。</w:t>
      </w:r>
    </w:p>
    <w:p>
      <w:pPr>
        <w:spacing w:beforeLines="100" w:afterLines="100" w:line="620" w:lineRule="exact"/>
        <w:jc w:val="center"/>
        <w:rPr>
          <w:rFonts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rPr>
        <w:t>九、科学技术和教育卫生</w:t>
      </w:r>
    </w:p>
    <w:p>
      <w:pPr>
        <w:spacing w:line="620" w:lineRule="exact"/>
        <w:ind w:firstLine="640" w:firstLineChars="200"/>
        <w:rPr>
          <w:rFonts w:eastAsia="方正仿宋简体"/>
          <w:color w:val="auto"/>
          <w:sz w:val="32"/>
          <w:szCs w:val="32"/>
          <w:highlight w:val="none"/>
        </w:rPr>
      </w:pPr>
      <w:r>
        <w:rPr>
          <w:rFonts w:hint="eastAsia" w:eastAsia="方正仿宋简体"/>
          <w:color w:val="auto"/>
          <w:sz w:val="32"/>
          <w:szCs w:val="32"/>
          <w:highlight w:val="none"/>
        </w:rPr>
        <w:t>202</w:t>
      </w:r>
      <w:r>
        <w:rPr>
          <w:rFonts w:hint="eastAsia" w:eastAsia="方正仿宋简体"/>
          <w:color w:val="auto"/>
          <w:sz w:val="32"/>
          <w:szCs w:val="32"/>
          <w:highlight w:val="none"/>
          <w:lang w:val="en-US" w:eastAsia="zh-CN"/>
        </w:rPr>
        <w:t>4</w:t>
      </w:r>
      <w:r>
        <w:rPr>
          <w:rFonts w:hint="eastAsia" w:eastAsia="方正仿宋简体"/>
          <w:color w:val="auto"/>
          <w:sz w:val="32"/>
          <w:szCs w:val="32"/>
          <w:highlight w:val="none"/>
        </w:rPr>
        <w:t>年，全县争取各级各类科技计划项目</w:t>
      </w:r>
      <w:r>
        <w:rPr>
          <w:rFonts w:hint="eastAsia" w:eastAsia="方正仿宋简体"/>
          <w:color w:val="auto"/>
          <w:sz w:val="32"/>
          <w:szCs w:val="32"/>
          <w:highlight w:val="none"/>
          <w:lang w:val="en-US" w:eastAsia="zh-CN"/>
        </w:rPr>
        <w:t>9</w:t>
      </w:r>
      <w:r>
        <w:rPr>
          <w:rFonts w:hint="eastAsia" w:eastAsia="方正仿宋简体"/>
          <w:color w:val="auto"/>
          <w:sz w:val="32"/>
          <w:szCs w:val="32"/>
          <w:highlight w:val="none"/>
        </w:rPr>
        <w:t>项，其中：自治区科技计划项目</w:t>
      </w:r>
      <w:r>
        <w:rPr>
          <w:rFonts w:hint="eastAsia" w:eastAsia="方正仿宋简体"/>
          <w:color w:val="auto"/>
          <w:sz w:val="32"/>
          <w:szCs w:val="32"/>
          <w:highlight w:val="none"/>
          <w:lang w:val="en-US" w:eastAsia="zh-CN"/>
        </w:rPr>
        <w:t>9</w:t>
      </w:r>
      <w:r>
        <w:rPr>
          <w:rFonts w:hint="eastAsia" w:eastAsia="方正仿宋简体"/>
          <w:color w:val="auto"/>
          <w:sz w:val="32"/>
          <w:szCs w:val="32"/>
          <w:highlight w:val="none"/>
        </w:rPr>
        <w:t>项、地区科技计划项目</w:t>
      </w:r>
      <w:r>
        <w:rPr>
          <w:rFonts w:hint="eastAsia" w:eastAsia="方正仿宋简体"/>
          <w:color w:val="auto"/>
          <w:sz w:val="32"/>
          <w:szCs w:val="32"/>
          <w:highlight w:val="none"/>
          <w:lang w:val="en-US" w:eastAsia="zh-CN"/>
        </w:rPr>
        <w:t>0</w:t>
      </w:r>
      <w:r>
        <w:rPr>
          <w:rFonts w:hint="eastAsia" w:eastAsia="方正仿宋简体"/>
          <w:color w:val="auto"/>
          <w:sz w:val="32"/>
          <w:szCs w:val="32"/>
          <w:highlight w:val="none"/>
        </w:rPr>
        <w:t>项。全地区技术合同成交额</w:t>
      </w:r>
      <w:r>
        <w:rPr>
          <w:rFonts w:hint="eastAsia" w:eastAsia="方正仿宋简体"/>
          <w:color w:val="auto"/>
          <w:sz w:val="32"/>
          <w:szCs w:val="32"/>
          <w:highlight w:val="none"/>
          <w:lang w:val="en-US" w:eastAsia="zh-CN"/>
        </w:rPr>
        <w:t>848.45</w:t>
      </w:r>
      <w:r>
        <w:rPr>
          <w:rFonts w:hint="eastAsia" w:eastAsia="方正仿宋简体"/>
          <w:color w:val="auto"/>
          <w:sz w:val="32"/>
          <w:szCs w:val="32"/>
          <w:highlight w:val="none"/>
        </w:rPr>
        <w:t>万元，其中：技术交易额</w:t>
      </w:r>
      <w:r>
        <w:rPr>
          <w:rFonts w:hint="eastAsia" w:eastAsia="方正仿宋简体"/>
          <w:color w:val="auto"/>
          <w:sz w:val="32"/>
          <w:szCs w:val="32"/>
          <w:highlight w:val="none"/>
          <w:lang w:val="en-US" w:eastAsia="zh-CN"/>
        </w:rPr>
        <w:t>684.99</w:t>
      </w:r>
      <w:r>
        <w:rPr>
          <w:rFonts w:hint="eastAsia" w:eastAsia="方正仿宋简体"/>
          <w:color w:val="auto"/>
          <w:sz w:val="32"/>
          <w:szCs w:val="32"/>
          <w:highlight w:val="none"/>
        </w:rPr>
        <w:t>万元。在自治区注册备案自然人科技特派员</w:t>
      </w:r>
      <w:r>
        <w:rPr>
          <w:rFonts w:hint="eastAsia" w:eastAsia="方正仿宋简体"/>
          <w:color w:val="auto"/>
          <w:sz w:val="32"/>
          <w:szCs w:val="32"/>
          <w:highlight w:val="none"/>
          <w:lang w:val="en-US" w:eastAsia="zh-CN"/>
        </w:rPr>
        <w:t>185</w:t>
      </w:r>
      <w:r>
        <w:rPr>
          <w:rFonts w:hint="eastAsia" w:eastAsia="方正仿宋简体"/>
          <w:color w:val="auto"/>
          <w:sz w:val="32"/>
          <w:szCs w:val="32"/>
          <w:highlight w:val="none"/>
        </w:rPr>
        <w:t>人，法人科技特派员</w:t>
      </w:r>
      <w:r>
        <w:rPr>
          <w:rFonts w:hint="eastAsia" w:eastAsia="方正仿宋简体"/>
          <w:color w:val="auto"/>
          <w:sz w:val="32"/>
          <w:szCs w:val="32"/>
          <w:highlight w:val="none"/>
          <w:lang w:val="en-US" w:eastAsia="zh-CN"/>
        </w:rPr>
        <w:t>5</w:t>
      </w:r>
      <w:r>
        <w:rPr>
          <w:rFonts w:hint="eastAsia" w:eastAsia="方正仿宋简体"/>
          <w:color w:val="auto"/>
          <w:sz w:val="32"/>
          <w:szCs w:val="32"/>
          <w:highlight w:val="none"/>
        </w:rPr>
        <w:t>人，科技特派员服务团队</w:t>
      </w:r>
      <w:r>
        <w:rPr>
          <w:rFonts w:hint="eastAsia" w:eastAsia="方正仿宋简体"/>
          <w:color w:val="auto"/>
          <w:sz w:val="32"/>
          <w:szCs w:val="32"/>
          <w:highlight w:val="none"/>
          <w:lang w:val="en-US" w:eastAsia="zh-CN"/>
        </w:rPr>
        <w:t>2</w:t>
      </w:r>
      <w:r>
        <w:rPr>
          <w:rFonts w:hint="eastAsia" w:eastAsia="方正仿宋简体"/>
          <w:color w:val="auto"/>
          <w:sz w:val="32"/>
          <w:szCs w:val="32"/>
          <w:highlight w:val="none"/>
        </w:rPr>
        <w:t>个。入库科技型中小企业</w:t>
      </w:r>
      <w:r>
        <w:rPr>
          <w:rFonts w:hint="eastAsia" w:eastAsia="方正仿宋简体"/>
          <w:color w:val="auto"/>
          <w:sz w:val="32"/>
          <w:szCs w:val="32"/>
          <w:highlight w:val="none"/>
          <w:lang w:val="en-US" w:eastAsia="zh-CN"/>
        </w:rPr>
        <w:t>43</w:t>
      </w:r>
      <w:r>
        <w:rPr>
          <w:rFonts w:hint="eastAsia" w:eastAsia="方正仿宋简体"/>
          <w:color w:val="auto"/>
          <w:sz w:val="32"/>
          <w:szCs w:val="32"/>
          <w:highlight w:val="none"/>
        </w:rPr>
        <w:t>个，</w:t>
      </w:r>
      <w:r>
        <w:rPr>
          <w:rFonts w:hint="eastAsia" w:eastAsia="方正仿宋简体"/>
          <w:color w:val="auto"/>
          <w:sz w:val="32"/>
          <w:szCs w:val="32"/>
          <w:highlight w:val="none"/>
          <w:lang w:eastAsia="zh-CN"/>
        </w:rPr>
        <w:t>认定高新技术企业</w:t>
      </w:r>
      <w:r>
        <w:rPr>
          <w:rFonts w:hint="eastAsia" w:eastAsia="方正仿宋简体"/>
          <w:color w:val="auto"/>
          <w:sz w:val="32"/>
          <w:szCs w:val="32"/>
          <w:highlight w:val="none"/>
          <w:lang w:val="en-US" w:eastAsia="zh-CN"/>
        </w:rPr>
        <w:t>40家，</w:t>
      </w:r>
      <w:r>
        <w:rPr>
          <w:rFonts w:hint="eastAsia" w:eastAsia="方正仿宋简体"/>
          <w:color w:val="auto"/>
          <w:sz w:val="32"/>
          <w:szCs w:val="32"/>
          <w:highlight w:val="none"/>
        </w:rPr>
        <w:t>拥有自治区级高新技术产业园区</w:t>
      </w:r>
      <w:r>
        <w:rPr>
          <w:rFonts w:hint="eastAsia" w:eastAsia="方正仿宋简体"/>
          <w:color w:val="auto"/>
          <w:sz w:val="32"/>
          <w:szCs w:val="32"/>
          <w:highlight w:val="none"/>
          <w:lang w:val="en-US" w:eastAsia="zh-CN"/>
        </w:rPr>
        <w:t>1</w:t>
      </w:r>
      <w:r>
        <w:rPr>
          <w:rFonts w:hint="eastAsia" w:eastAsia="方正仿宋简体"/>
          <w:color w:val="auto"/>
          <w:sz w:val="32"/>
          <w:szCs w:val="32"/>
          <w:highlight w:val="none"/>
        </w:rPr>
        <w:t>个、自治区级农业科技园区</w:t>
      </w:r>
      <w:r>
        <w:rPr>
          <w:rFonts w:hint="eastAsia" w:eastAsia="方正仿宋简体"/>
          <w:color w:val="auto"/>
          <w:sz w:val="32"/>
          <w:szCs w:val="32"/>
          <w:highlight w:val="none"/>
          <w:lang w:val="en-US" w:eastAsia="zh-CN"/>
        </w:rPr>
        <w:t>1</w:t>
      </w:r>
      <w:r>
        <w:rPr>
          <w:rFonts w:hint="eastAsia" w:eastAsia="方正仿宋简体"/>
          <w:color w:val="auto"/>
          <w:sz w:val="32"/>
          <w:szCs w:val="32"/>
          <w:highlight w:val="none"/>
        </w:rPr>
        <w:t>个。</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职业学校</w:t>
      </w:r>
      <w:r>
        <w:rPr>
          <w:rFonts w:hint="eastAsia" w:eastAsia="方正仿宋简体"/>
          <w:color w:val="auto"/>
          <w:sz w:val="32"/>
          <w:szCs w:val="32"/>
          <w:lang w:val="en-US" w:eastAsia="zh-CN"/>
        </w:rPr>
        <w:t>1</w:t>
      </w:r>
      <w:r>
        <w:rPr>
          <w:rFonts w:hint="eastAsia" w:eastAsia="方正仿宋简体"/>
          <w:color w:val="auto"/>
          <w:sz w:val="32"/>
          <w:szCs w:val="32"/>
        </w:rPr>
        <w:t>所，全年招生人数</w:t>
      </w:r>
      <w:r>
        <w:rPr>
          <w:rFonts w:hint="eastAsia" w:eastAsia="方正仿宋简体"/>
          <w:color w:val="auto"/>
          <w:sz w:val="32"/>
          <w:szCs w:val="32"/>
          <w:lang w:val="en-US" w:eastAsia="zh-CN"/>
        </w:rPr>
        <w:t>1059</w:t>
      </w:r>
      <w:r>
        <w:rPr>
          <w:rFonts w:hint="eastAsia" w:eastAsia="方正仿宋简体"/>
          <w:color w:val="auto"/>
          <w:sz w:val="32"/>
          <w:szCs w:val="32"/>
        </w:rPr>
        <w:t>人，在校学生数</w:t>
      </w:r>
      <w:r>
        <w:rPr>
          <w:rFonts w:hint="eastAsia" w:eastAsia="方正仿宋简体"/>
          <w:color w:val="auto"/>
          <w:sz w:val="32"/>
          <w:szCs w:val="32"/>
          <w:lang w:val="en-US" w:eastAsia="zh-CN"/>
        </w:rPr>
        <w:t>4274</w:t>
      </w:r>
      <w:r>
        <w:rPr>
          <w:rFonts w:hint="eastAsia" w:eastAsia="方正仿宋简体"/>
          <w:color w:val="auto"/>
          <w:sz w:val="32"/>
          <w:szCs w:val="32"/>
        </w:rPr>
        <w:t>人，毕业人数</w:t>
      </w:r>
      <w:r>
        <w:rPr>
          <w:rFonts w:hint="eastAsia" w:eastAsia="方正仿宋简体"/>
          <w:color w:val="auto"/>
          <w:sz w:val="32"/>
          <w:szCs w:val="32"/>
          <w:lang w:val="en-US" w:eastAsia="zh-CN"/>
        </w:rPr>
        <w:t>1832</w:t>
      </w:r>
      <w:r>
        <w:rPr>
          <w:rFonts w:hint="eastAsia" w:eastAsia="方正仿宋简体"/>
          <w:color w:val="auto"/>
          <w:sz w:val="32"/>
          <w:szCs w:val="32"/>
        </w:rPr>
        <w:t>人。</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普通高中</w:t>
      </w:r>
      <w:r>
        <w:rPr>
          <w:rFonts w:hint="eastAsia" w:eastAsia="方正仿宋简体"/>
          <w:color w:val="auto"/>
          <w:sz w:val="32"/>
          <w:szCs w:val="32"/>
          <w:lang w:val="en-US" w:eastAsia="zh-CN"/>
        </w:rPr>
        <w:t>3</w:t>
      </w:r>
      <w:r>
        <w:rPr>
          <w:rFonts w:hint="eastAsia" w:eastAsia="方正仿宋简体"/>
          <w:color w:val="auto"/>
          <w:sz w:val="32"/>
          <w:szCs w:val="32"/>
        </w:rPr>
        <w:t>所，全年招生人数</w:t>
      </w:r>
      <w:r>
        <w:rPr>
          <w:rFonts w:hint="eastAsia" w:eastAsia="方正仿宋简体"/>
          <w:color w:val="auto"/>
          <w:sz w:val="32"/>
          <w:szCs w:val="32"/>
          <w:lang w:val="en-US" w:eastAsia="zh-CN"/>
        </w:rPr>
        <w:t>4138</w:t>
      </w:r>
      <w:r>
        <w:rPr>
          <w:rFonts w:hint="eastAsia" w:eastAsia="方正仿宋简体"/>
          <w:color w:val="auto"/>
          <w:sz w:val="32"/>
          <w:szCs w:val="32"/>
        </w:rPr>
        <w:t>人，在校学生数</w:t>
      </w:r>
      <w:r>
        <w:rPr>
          <w:rFonts w:hint="eastAsia" w:eastAsia="方正仿宋简体"/>
          <w:color w:val="auto"/>
          <w:sz w:val="32"/>
          <w:szCs w:val="32"/>
          <w:lang w:val="en-US" w:eastAsia="zh-CN"/>
        </w:rPr>
        <w:t>10714</w:t>
      </w:r>
      <w:r>
        <w:rPr>
          <w:rFonts w:hint="eastAsia" w:eastAsia="方正仿宋简体"/>
          <w:color w:val="auto"/>
          <w:sz w:val="32"/>
          <w:szCs w:val="32"/>
        </w:rPr>
        <w:t>人，毕业人数</w:t>
      </w:r>
      <w:r>
        <w:rPr>
          <w:rFonts w:hint="eastAsia" w:eastAsia="方正仿宋简体"/>
          <w:color w:val="auto"/>
          <w:sz w:val="32"/>
          <w:szCs w:val="32"/>
          <w:lang w:val="en-US" w:eastAsia="zh-CN"/>
        </w:rPr>
        <w:t>2369</w:t>
      </w:r>
      <w:r>
        <w:rPr>
          <w:rFonts w:hint="eastAsia" w:eastAsia="方正仿宋简体"/>
          <w:color w:val="auto"/>
          <w:sz w:val="32"/>
          <w:szCs w:val="32"/>
        </w:rPr>
        <w:t>人。</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普通初中</w:t>
      </w:r>
      <w:r>
        <w:rPr>
          <w:rFonts w:hint="eastAsia" w:eastAsia="方正仿宋简体"/>
          <w:color w:val="auto"/>
          <w:sz w:val="32"/>
          <w:szCs w:val="32"/>
          <w:lang w:val="en-US" w:eastAsia="zh-CN"/>
        </w:rPr>
        <w:t>4</w:t>
      </w:r>
      <w:r>
        <w:rPr>
          <w:rFonts w:hint="eastAsia" w:eastAsia="方正仿宋简体"/>
          <w:color w:val="auto"/>
          <w:sz w:val="32"/>
          <w:szCs w:val="32"/>
        </w:rPr>
        <w:t>所，全年招生人数</w:t>
      </w:r>
      <w:r>
        <w:rPr>
          <w:rFonts w:hint="eastAsia" w:eastAsia="方正仿宋简体"/>
          <w:color w:val="auto"/>
          <w:sz w:val="32"/>
          <w:szCs w:val="32"/>
          <w:lang w:val="en-US" w:eastAsia="zh-CN"/>
        </w:rPr>
        <w:t>7883</w:t>
      </w:r>
      <w:r>
        <w:rPr>
          <w:rFonts w:hint="eastAsia" w:eastAsia="方正仿宋简体"/>
          <w:color w:val="auto"/>
          <w:sz w:val="32"/>
          <w:szCs w:val="32"/>
        </w:rPr>
        <w:t>人，在校学生数</w:t>
      </w:r>
      <w:r>
        <w:rPr>
          <w:rFonts w:hint="eastAsia" w:eastAsia="方正仿宋简体"/>
          <w:color w:val="auto"/>
          <w:sz w:val="32"/>
          <w:szCs w:val="32"/>
          <w:lang w:val="en-US" w:eastAsia="zh-CN"/>
        </w:rPr>
        <w:t>21305</w:t>
      </w:r>
      <w:r>
        <w:rPr>
          <w:rFonts w:hint="eastAsia" w:eastAsia="方正仿宋简体"/>
          <w:color w:val="auto"/>
          <w:sz w:val="32"/>
          <w:szCs w:val="32"/>
        </w:rPr>
        <w:t>人，毕业人数</w:t>
      </w:r>
      <w:r>
        <w:rPr>
          <w:rFonts w:hint="eastAsia" w:eastAsia="方正仿宋简体"/>
          <w:color w:val="auto"/>
          <w:sz w:val="32"/>
          <w:szCs w:val="32"/>
          <w:lang w:val="en-US" w:eastAsia="zh-CN"/>
        </w:rPr>
        <w:t>6081</w:t>
      </w:r>
      <w:r>
        <w:rPr>
          <w:rFonts w:hint="eastAsia" w:eastAsia="方正仿宋简体"/>
          <w:color w:val="auto"/>
          <w:sz w:val="32"/>
          <w:szCs w:val="32"/>
        </w:rPr>
        <w:t>人。</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小学</w:t>
      </w:r>
      <w:r>
        <w:rPr>
          <w:rFonts w:hint="eastAsia" w:eastAsia="方正仿宋简体"/>
          <w:color w:val="auto"/>
          <w:sz w:val="32"/>
          <w:szCs w:val="32"/>
          <w:lang w:val="en-US" w:eastAsia="zh-CN"/>
        </w:rPr>
        <w:t>91</w:t>
      </w:r>
      <w:bookmarkStart w:id="0" w:name="_GoBack"/>
      <w:bookmarkEnd w:id="0"/>
      <w:r>
        <w:rPr>
          <w:rFonts w:hint="eastAsia" w:eastAsia="方正仿宋简体"/>
          <w:color w:val="auto"/>
          <w:sz w:val="32"/>
          <w:szCs w:val="32"/>
        </w:rPr>
        <w:t>所，全年招生人数</w:t>
      </w:r>
      <w:r>
        <w:rPr>
          <w:rFonts w:hint="eastAsia" w:eastAsia="方正仿宋简体"/>
          <w:color w:val="auto"/>
          <w:sz w:val="32"/>
          <w:szCs w:val="32"/>
          <w:lang w:val="en-US" w:eastAsia="zh-CN"/>
        </w:rPr>
        <w:t>2581</w:t>
      </w:r>
      <w:r>
        <w:rPr>
          <w:rFonts w:hint="eastAsia" w:eastAsia="方正仿宋简体"/>
          <w:color w:val="auto"/>
          <w:sz w:val="32"/>
          <w:szCs w:val="32"/>
        </w:rPr>
        <w:t>人，在校学生数</w:t>
      </w:r>
      <w:r>
        <w:rPr>
          <w:rFonts w:hint="eastAsia" w:eastAsia="方正仿宋简体"/>
          <w:color w:val="auto"/>
          <w:sz w:val="32"/>
          <w:szCs w:val="32"/>
          <w:lang w:val="en-US" w:eastAsia="zh-CN"/>
        </w:rPr>
        <w:t>43708</w:t>
      </w:r>
      <w:r>
        <w:rPr>
          <w:rFonts w:hint="eastAsia" w:eastAsia="方正仿宋简体"/>
          <w:color w:val="auto"/>
          <w:sz w:val="32"/>
          <w:szCs w:val="32"/>
        </w:rPr>
        <w:t>人，毕业人数</w:t>
      </w:r>
      <w:r>
        <w:rPr>
          <w:rFonts w:hint="eastAsia" w:eastAsia="方正仿宋简体"/>
          <w:color w:val="auto"/>
          <w:sz w:val="32"/>
          <w:szCs w:val="32"/>
          <w:lang w:val="en-US" w:eastAsia="zh-CN"/>
        </w:rPr>
        <w:t>7866</w:t>
      </w:r>
      <w:r>
        <w:rPr>
          <w:rFonts w:hint="eastAsia" w:eastAsia="方正仿宋简体"/>
          <w:color w:val="auto"/>
          <w:sz w:val="32"/>
          <w:szCs w:val="32"/>
        </w:rPr>
        <w:t>人。</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幼儿园、托儿所</w:t>
      </w:r>
      <w:r>
        <w:rPr>
          <w:rFonts w:hint="eastAsia" w:eastAsia="方正仿宋简体"/>
          <w:color w:val="auto"/>
          <w:sz w:val="32"/>
          <w:szCs w:val="32"/>
          <w:lang w:val="en-US" w:eastAsia="zh-CN"/>
        </w:rPr>
        <w:t>46</w:t>
      </w:r>
      <w:r>
        <w:rPr>
          <w:rFonts w:hint="eastAsia" w:eastAsia="方正仿宋简体"/>
          <w:color w:val="auto"/>
          <w:sz w:val="32"/>
          <w:szCs w:val="32"/>
        </w:rPr>
        <w:t>所，全年招生人数</w:t>
      </w:r>
      <w:r>
        <w:rPr>
          <w:rFonts w:hint="eastAsia" w:eastAsia="方正仿宋简体"/>
          <w:color w:val="auto"/>
          <w:sz w:val="32"/>
          <w:szCs w:val="32"/>
          <w:lang w:val="en-US" w:eastAsia="zh-CN"/>
        </w:rPr>
        <w:t>1598</w:t>
      </w:r>
      <w:r>
        <w:rPr>
          <w:rFonts w:hint="eastAsia" w:eastAsia="方正仿宋简体"/>
          <w:color w:val="auto"/>
          <w:sz w:val="32"/>
          <w:szCs w:val="32"/>
        </w:rPr>
        <w:t>人，在校生人数</w:t>
      </w:r>
      <w:r>
        <w:rPr>
          <w:rFonts w:hint="eastAsia" w:eastAsia="方正仿宋简体"/>
          <w:color w:val="auto"/>
          <w:sz w:val="32"/>
          <w:szCs w:val="32"/>
          <w:lang w:val="en-US" w:eastAsia="zh-CN"/>
        </w:rPr>
        <w:t xml:space="preserve">  4590</w:t>
      </w:r>
      <w:r>
        <w:rPr>
          <w:rFonts w:hint="eastAsia" w:eastAsia="方正仿宋简体"/>
          <w:color w:val="auto"/>
          <w:sz w:val="32"/>
          <w:szCs w:val="32"/>
        </w:rPr>
        <w:t>人，毕业人数</w:t>
      </w:r>
      <w:r>
        <w:rPr>
          <w:rFonts w:hint="eastAsia" w:eastAsia="方正仿宋简体"/>
          <w:color w:val="auto"/>
          <w:sz w:val="32"/>
          <w:szCs w:val="32"/>
          <w:lang w:val="en-US" w:eastAsia="zh-CN"/>
        </w:rPr>
        <w:t>2621</w:t>
      </w:r>
      <w:r>
        <w:rPr>
          <w:rFonts w:hint="eastAsia" w:eastAsia="方正仿宋简体"/>
          <w:color w:val="auto"/>
          <w:sz w:val="32"/>
          <w:szCs w:val="32"/>
        </w:rPr>
        <w:t>人。</w:t>
      </w:r>
    </w:p>
    <w:p>
      <w:pPr>
        <w:spacing w:line="620" w:lineRule="exact"/>
        <w:ind w:firstLine="640" w:firstLineChars="200"/>
        <w:rPr>
          <w:rFonts w:eastAsia="方正仿宋简体"/>
          <w:color w:val="auto"/>
          <w:sz w:val="32"/>
          <w:szCs w:val="32"/>
        </w:rPr>
      </w:pPr>
      <w:r>
        <w:rPr>
          <w:rFonts w:hint="eastAsia" w:eastAsia="方正仿宋简体"/>
          <w:color w:val="auto"/>
          <w:sz w:val="32"/>
          <w:szCs w:val="32"/>
        </w:rPr>
        <w:t>特殊教育学校</w:t>
      </w:r>
      <w:r>
        <w:rPr>
          <w:rFonts w:hint="eastAsia" w:eastAsia="方正仿宋简体"/>
          <w:color w:val="auto"/>
          <w:sz w:val="32"/>
          <w:szCs w:val="32"/>
          <w:lang w:val="en-US" w:eastAsia="zh-CN"/>
        </w:rPr>
        <w:t>1</w:t>
      </w:r>
      <w:r>
        <w:rPr>
          <w:rFonts w:hint="eastAsia" w:eastAsia="方正仿宋简体"/>
          <w:color w:val="auto"/>
          <w:sz w:val="32"/>
          <w:szCs w:val="32"/>
        </w:rPr>
        <w:t>所，全年招生人数</w:t>
      </w:r>
      <w:r>
        <w:rPr>
          <w:rFonts w:hint="eastAsia" w:eastAsia="方正仿宋简体"/>
          <w:color w:val="auto"/>
          <w:sz w:val="32"/>
          <w:szCs w:val="32"/>
          <w:lang w:val="en-US" w:eastAsia="zh-CN"/>
        </w:rPr>
        <w:t>1</w:t>
      </w:r>
      <w:r>
        <w:rPr>
          <w:rFonts w:hint="eastAsia" w:eastAsia="方正仿宋简体"/>
          <w:color w:val="auto"/>
          <w:sz w:val="32"/>
          <w:szCs w:val="32"/>
        </w:rPr>
        <w:t>人，在校学生数</w:t>
      </w:r>
      <w:r>
        <w:rPr>
          <w:rFonts w:hint="eastAsia" w:eastAsia="方正仿宋简体"/>
          <w:color w:val="auto"/>
          <w:sz w:val="32"/>
          <w:szCs w:val="32"/>
          <w:lang w:val="en-US" w:eastAsia="zh-CN"/>
        </w:rPr>
        <w:t>106</w:t>
      </w:r>
      <w:r>
        <w:rPr>
          <w:rFonts w:hint="eastAsia" w:eastAsia="方正仿宋简体"/>
          <w:color w:val="auto"/>
          <w:sz w:val="32"/>
          <w:szCs w:val="32"/>
        </w:rPr>
        <w:t>人，毕业人数</w:t>
      </w:r>
      <w:r>
        <w:rPr>
          <w:rFonts w:hint="eastAsia" w:eastAsia="方正仿宋简体"/>
          <w:color w:val="auto"/>
          <w:sz w:val="32"/>
          <w:szCs w:val="32"/>
          <w:lang w:val="en-US" w:eastAsia="zh-CN"/>
        </w:rPr>
        <w:t>2</w:t>
      </w:r>
      <w:r>
        <w:rPr>
          <w:rFonts w:hint="eastAsia" w:eastAsia="方正仿宋简体"/>
          <w:color w:val="auto"/>
          <w:sz w:val="32"/>
          <w:szCs w:val="32"/>
        </w:rPr>
        <w:t>人。</w:t>
      </w:r>
    </w:p>
    <w:p>
      <w:pPr>
        <w:pStyle w:val="6"/>
        <w:spacing w:line="620" w:lineRule="exact"/>
        <w:ind w:firstLine="640" w:firstLineChars="200"/>
        <w:rPr>
          <w:rFonts w:hint="eastAsia" w:ascii="Times New Roman" w:eastAsia="方正仿宋简体" w:cs="Times New Roman"/>
          <w:color w:val="auto"/>
          <w:sz w:val="32"/>
          <w:szCs w:val="32"/>
          <w:highlight w:val="none"/>
        </w:rPr>
      </w:pPr>
      <w:r>
        <w:rPr>
          <w:rFonts w:ascii="Times New Roman" w:eastAsia="方正仿宋简体" w:cs="Times New Roman"/>
          <w:color w:val="auto"/>
          <w:sz w:val="32"/>
          <w:szCs w:val="32"/>
          <w:highlight w:val="none"/>
        </w:rPr>
        <w:t>全县共有医疗卫生机构</w:t>
      </w:r>
      <w:r>
        <w:rPr>
          <w:rFonts w:hint="eastAsia" w:ascii="Times New Roman" w:eastAsia="方正仿宋简体" w:cs="Times New Roman"/>
          <w:color w:val="auto"/>
          <w:sz w:val="32"/>
          <w:szCs w:val="32"/>
          <w:highlight w:val="none"/>
          <w:lang w:val="en-US" w:eastAsia="zh-CN"/>
        </w:rPr>
        <w:t>278</w:t>
      </w:r>
      <w:r>
        <w:rPr>
          <w:rFonts w:ascii="Times New Roman" w:eastAsia="方正仿宋简体" w:cs="Times New Roman"/>
          <w:color w:val="auto"/>
          <w:sz w:val="32"/>
          <w:szCs w:val="32"/>
          <w:highlight w:val="none"/>
        </w:rPr>
        <w:t>个，其中：综合医院</w:t>
      </w:r>
      <w:r>
        <w:rPr>
          <w:rFonts w:hint="eastAsia" w:ascii="Times New Roman" w:eastAsia="方正仿宋简体" w:cs="Times New Roman"/>
          <w:color w:val="auto"/>
          <w:sz w:val="32"/>
          <w:szCs w:val="32"/>
          <w:highlight w:val="none"/>
          <w:lang w:val="en-US" w:eastAsia="zh-CN"/>
        </w:rPr>
        <w:t>2</w:t>
      </w:r>
      <w:r>
        <w:rPr>
          <w:rFonts w:ascii="Times New Roman" w:eastAsia="方正仿宋简体" w:cs="Times New Roman"/>
          <w:color w:val="auto"/>
          <w:sz w:val="32"/>
          <w:szCs w:val="32"/>
          <w:highlight w:val="none"/>
        </w:rPr>
        <w:t>个，基层医疗卫生机构</w:t>
      </w:r>
      <w:r>
        <w:rPr>
          <w:rFonts w:hint="eastAsia" w:ascii="Times New Roman" w:eastAsia="方正仿宋简体" w:cs="Times New Roman"/>
          <w:color w:val="auto"/>
          <w:sz w:val="32"/>
          <w:szCs w:val="32"/>
          <w:highlight w:val="none"/>
          <w:lang w:val="en-US" w:eastAsia="zh-CN"/>
        </w:rPr>
        <w:t>217</w:t>
      </w:r>
      <w:r>
        <w:rPr>
          <w:rFonts w:ascii="Times New Roman" w:eastAsia="方正仿宋简体" w:cs="Times New Roman"/>
          <w:color w:val="auto"/>
          <w:sz w:val="32"/>
          <w:szCs w:val="32"/>
          <w:highlight w:val="none"/>
        </w:rPr>
        <w:t>个，专业公共卫生机构</w:t>
      </w:r>
      <w:r>
        <w:rPr>
          <w:rFonts w:hint="eastAsia" w:ascii="Times New Roman" w:eastAsia="方正仿宋简体" w:cs="Times New Roman"/>
          <w:color w:val="auto"/>
          <w:sz w:val="32"/>
          <w:szCs w:val="32"/>
          <w:highlight w:val="none"/>
          <w:lang w:val="en-US" w:eastAsia="zh-CN"/>
        </w:rPr>
        <w:t>2</w:t>
      </w:r>
      <w:r>
        <w:rPr>
          <w:rFonts w:ascii="Times New Roman" w:eastAsia="方正仿宋简体" w:cs="Times New Roman"/>
          <w:color w:val="auto"/>
          <w:sz w:val="32"/>
          <w:szCs w:val="32"/>
          <w:highlight w:val="none"/>
        </w:rPr>
        <w:t>个。</w:t>
      </w:r>
      <w:r>
        <w:rPr>
          <w:rFonts w:hint="eastAsia" w:ascii="Times New Roman" w:eastAsia="方正仿宋简体" w:cs="Times New Roman"/>
          <w:color w:val="auto"/>
          <w:sz w:val="32"/>
          <w:szCs w:val="32"/>
          <w:highlight w:val="none"/>
        </w:rPr>
        <w:t>全县医疗机构有病床数1865张，专业卫生技术人员2252人，其中：执业（助力）医师707人，注册护士903人，药剂师（士）132人，医技师（士）263人，其他卫生技术人员247人。</w:t>
      </w:r>
    </w:p>
    <w:p>
      <w:pPr>
        <w:pStyle w:val="6"/>
        <w:spacing w:beforeLines="100" w:afterLines="100" w:line="620" w:lineRule="exact"/>
        <w:jc w:val="center"/>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sz w:val="32"/>
          <w:szCs w:val="32"/>
        </w:rPr>
        <w:t>十、文化和体育</w:t>
      </w:r>
    </w:p>
    <w:p>
      <w:pPr>
        <w:pStyle w:val="6"/>
        <w:spacing w:line="620" w:lineRule="exact"/>
        <w:ind w:firstLine="640" w:firstLineChars="200"/>
        <w:rPr>
          <w:rFonts w:ascii="Times New Roman" w:eastAsia="方正仿宋简体" w:cs="Times New Roman"/>
          <w:color w:val="auto"/>
          <w:sz w:val="32"/>
          <w:szCs w:val="32"/>
          <w:highlight w:val="none"/>
        </w:rPr>
      </w:pPr>
      <w:r>
        <w:rPr>
          <w:rFonts w:ascii="Times New Roman" w:eastAsia="方正仿宋简体" w:cs="Times New Roman"/>
          <w:color w:val="auto"/>
          <w:sz w:val="32"/>
          <w:szCs w:val="32"/>
          <w:highlight w:val="none"/>
        </w:rPr>
        <w:t>年末</w:t>
      </w:r>
      <w:r>
        <w:rPr>
          <w:rFonts w:hint="eastAsia" w:ascii="Times New Roman" w:eastAsia="方正仿宋简体" w:cs="Times New Roman"/>
          <w:color w:val="auto"/>
          <w:sz w:val="32"/>
          <w:szCs w:val="32"/>
          <w:highlight w:val="none"/>
          <w:lang w:eastAsia="zh-CN"/>
        </w:rPr>
        <w:t>县级</w:t>
      </w:r>
      <w:r>
        <w:rPr>
          <w:rFonts w:hint="eastAsia" w:ascii="Times New Roman" w:eastAsia="方正仿宋简体" w:cs="Times New Roman"/>
          <w:color w:val="auto"/>
          <w:sz w:val="32"/>
          <w:szCs w:val="32"/>
          <w:highlight w:val="none"/>
        </w:rPr>
        <w:t>文化系统</w:t>
      </w:r>
      <w:r>
        <w:rPr>
          <w:rFonts w:ascii="Times New Roman" w:eastAsia="方正仿宋简体" w:cs="Times New Roman"/>
          <w:color w:val="auto"/>
          <w:sz w:val="32"/>
          <w:szCs w:val="32"/>
          <w:highlight w:val="none"/>
        </w:rPr>
        <w:t>共有艺术表演团体</w:t>
      </w:r>
      <w:r>
        <w:rPr>
          <w:rFonts w:hint="eastAsia" w:ascii="Times New Roman" w:eastAsia="方正仿宋简体" w:cs="Times New Roman"/>
          <w:color w:val="auto"/>
          <w:sz w:val="32"/>
          <w:szCs w:val="32"/>
          <w:highlight w:val="none"/>
          <w:lang w:val="en-US" w:eastAsia="zh-CN"/>
        </w:rPr>
        <w:t>1</w:t>
      </w:r>
      <w:r>
        <w:rPr>
          <w:rFonts w:ascii="Times New Roman" w:eastAsia="方正仿宋简体" w:cs="Times New Roman"/>
          <w:color w:val="auto"/>
          <w:sz w:val="32"/>
          <w:szCs w:val="32"/>
          <w:highlight w:val="none"/>
        </w:rPr>
        <w:t>个，公共图书馆</w:t>
      </w:r>
      <w:r>
        <w:rPr>
          <w:rFonts w:hint="eastAsia" w:ascii="Times New Roman" w:eastAsia="方正仿宋简体" w:cs="Times New Roman"/>
          <w:color w:val="auto"/>
          <w:sz w:val="32"/>
          <w:szCs w:val="32"/>
          <w:highlight w:val="none"/>
          <w:lang w:val="en-US" w:eastAsia="zh-CN"/>
        </w:rPr>
        <w:t>1</w:t>
      </w:r>
      <w:r>
        <w:rPr>
          <w:rFonts w:ascii="Times New Roman" w:eastAsia="方正仿宋简体" w:cs="Times New Roman"/>
          <w:color w:val="auto"/>
          <w:sz w:val="32"/>
          <w:szCs w:val="32"/>
          <w:highlight w:val="none"/>
        </w:rPr>
        <w:t>个，</w:t>
      </w:r>
      <w:r>
        <w:rPr>
          <w:rFonts w:hint="eastAsia" w:ascii="Times New Roman" w:eastAsia="方正仿宋简体" w:cs="Times New Roman"/>
          <w:color w:val="auto"/>
          <w:sz w:val="32"/>
          <w:szCs w:val="32"/>
          <w:highlight w:val="none"/>
          <w:lang w:eastAsia="zh-CN"/>
        </w:rPr>
        <w:t>文化馆</w:t>
      </w:r>
      <w:r>
        <w:rPr>
          <w:rFonts w:hint="eastAsia" w:ascii="Times New Roman" w:eastAsia="方正仿宋简体" w:cs="Times New Roman"/>
          <w:color w:val="auto"/>
          <w:sz w:val="32"/>
          <w:szCs w:val="32"/>
          <w:highlight w:val="none"/>
          <w:lang w:val="en-US" w:eastAsia="zh-CN"/>
        </w:rPr>
        <w:t>1</w:t>
      </w:r>
      <w:r>
        <w:rPr>
          <w:rFonts w:hint="eastAsia" w:ascii="Times New Roman" w:eastAsia="方正仿宋简体" w:cs="Times New Roman"/>
          <w:color w:val="auto"/>
          <w:sz w:val="32"/>
          <w:szCs w:val="32"/>
          <w:highlight w:val="none"/>
        </w:rPr>
        <w:t>个</w:t>
      </w:r>
      <w:r>
        <w:rPr>
          <w:rFonts w:hint="eastAsia" w:ascii="Times New Roman" w:eastAsia="方正仿宋简体" w:cs="Times New Roman"/>
          <w:color w:val="auto"/>
          <w:sz w:val="32"/>
          <w:szCs w:val="32"/>
          <w:highlight w:val="none"/>
          <w:lang w:eastAsia="zh-CN"/>
        </w:rPr>
        <w:t>，博物馆</w:t>
      </w:r>
      <w:r>
        <w:rPr>
          <w:rFonts w:hint="eastAsia" w:ascii="Times New Roman" w:eastAsia="方正仿宋简体" w:cs="Times New Roman"/>
          <w:color w:val="auto"/>
          <w:sz w:val="32"/>
          <w:szCs w:val="32"/>
          <w:highlight w:val="none"/>
          <w:lang w:val="en-US" w:eastAsia="zh-CN"/>
        </w:rPr>
        <w:t>1个</w:t>
      </w:r>
      <w:r>
        <w:rPr>
          <w:rFonts w:hint="eastAsia" w:ascii="Times New Roman" w:eastAsia="方正仿宋简体" w:cs="Times New Roman"/>
          <w:color w:val="auto"/>
          <w:sz w:val="32"/>
          <w:szCs w:val="32"/>
          <w:highlight w:val="none"/>
        </w:rPr>
        <w:t>。拥有</w:t>
      </w:r>
      <w:r>
        <w:rPr>
          <w:rFonts w:ascii="Times New Roman" w:eastAsia="方正仿宋简体" w:cs="Times New Roman"/>
          <w:color w:val="auto"/>
          <w:sz w:val="32"/>
          <w:szCs w:val="32"/>
          <w:highlight w:val="none"/>
        </w:rPr>
        <w:t>融媒体中心</w:t>
      </w:r>
      <w:r>
        <w:rPr>
          <w:rFonts w:hint="eastAsia" w:ascii="Times New Roman" w:eastAsia="方正仿宋简体" w:cs="Times New Roman"/>
          <w:color w:val="auto"/>
          <w:sz w:val="32"/>
          <w:szCs w:val="32"/>
          <w:highlight w:val="none"/>
          <w:lang w:val="en-US" w:eastAsia="zh-CN"/>
        </w:rPr>
        <w:t>1</w:t>
      </w:r>
      <w:r>
        <w:rPr>
          <w:rFonts w:ascii="Times New Roman" w:eastAsia="方正仿宋简体" w:cs="Times New Roman"/>
          <w:color w:val="auto"/>
          <w:sz w:val="32"/>
          <w:szCs w:val="32"/>
          <w:highlight w:val="none"/>
        </w:rPr>
        <w:t>个，广播电视发射及转播台</w:t>
      </w:r>
      <w:r>
        <w:rPr>
          <w:rFonts w:hint="eastAsia" w:ascii="Times New Roman" w:eastAsia="方正仿宋简体" w:cs="Times New Roman"/>
          <w:color w:val="auto"/>
          <w:sz w:val="32"/>
          <w:szCs w:val="32"/>
          <w:highlight w:val="none"/>
          <w:lang w:val="en-US" w:eastAsia="zh-CN"/>
        </w:rPr>
        <w:t>1</w:t>
      </w:r>
      <w:r>
        <w:rPr>
          <w:rFonts w:ascii="Times New Roman" w:eastAsia="方正仿宋简体" w:cs="Times New Roman"/>
          <w:color w:val="auto"/>
          <w:sz w:val="32"/>
          <w:szCs w:val="32"/>
          <w:highlight w:val="none"/>
        </w:rPr>
        <w:t>座，广播人口覆盖率达</w:t>
      </w:r>
      <w:r>
        <w:rPr>
          <w:rFonts w:hint="eastAsia" w:ascii="Times New Roman" w:eastAsia="方正仿宋简体" w:cs="Times New Roman"/>
          <w:color w:val="auto"/>
          <w:sz w:val="32"/>
          <w:szCs w:val="32"/>
          <w:highlight w:val="none"/>
          <w:lang w:val="en-US" w:eastAsia="zh-CN"/>
        </w:rPr>
        <w:t>98</w:t>
      </w:r>
      <w:r>
        <w:rPr>
          <w:rFonts w:ascii="Times New Roman" w:eastAsia="方正仿宋简体" w:cs="Times New Roman"/>
          <w:color w:val="auto"/>
          <w:sz w:val="32"/>
          <w:szCs w:val="32"/>
          <w:highlight w:val="none"/>
        </w:rPr>
        <w:t>%，电视人口覆盖率达</w:t>
      </w:r>
      <w:r>
        <w:rPr>
          <w:rFonts w:hint="eastAsia" w:ascii="Times New Roman" w:eastAsia="方正仿宋简体" w:cs="Times New Roman"/>
          <w:color w:val="auto"/>
          <w:sz w:val="32"/>
          <w:szCs w:val="32"/>
          <w:highlight w:val="none"/>
          <w:lang w:val="en-US" w:eastAsia="zh-CN"/>
        </w:rPr>
        <w:t>96</w:t>
      </w:r>
      <w:r>
        <w:rPr>
          <w:rFonts w:ascii="Times New Roman" w:eastAsia="方正仿宋简体" w:cs="Times New Roman"/>
          <w:color w:val="auto"/>
          <w:sz w:val="32"/>
          <w:szCs w:val="32"/>
          <w:highlight w:val="none"/>
        </w:rPr>
        <w:t>%。</w:t>
      </w:r>
    </w:p>
    <w:p>
      <w:pPr>
        <w:pStyle w:val="6"/>
        <w:spacing w:line="620" w:lineRule="exact"/>
        <w:ind w:firstLine="640" w:firstLineChars="200"/>
        <w:rPr>
          <w:rFonts w:ascii="Times New Roman" w:eastAsia="方正仿宋简体" w:cs="Times New Roman"/>
          <w:b/>
          <w:bCs/>
          <w:color w:val="auto"/>
          <w:sz w:val="32"/>
          <w:szCs w:val="32"/>
          <w:highlight w:val="none"/>
        </w:rPr>
      </w:pPr>
      <w:r>
        <w:rPr>
          <w:rFonts w:hint="eastAsia" w:ascii="Times New Roman" w:eastAsia="方正仿宋简体" w:cs="Times New Roman"/>
          <w:color w:val="auto"/>
          <w:sz w:val="32"/>
          <w:szCs w:val="32"/>
          <w:highlight w:val="none"/>
        </w:rPr>
        <w:t>全年全县接待国内游客</w:t>
      </w:r>
      <w:r>
        <w:rPr>
          <w:rFonts w:hint="eastAsia" w:ascii="Times New Roman" w:eastAsia="方正仿宋简体" w:cs="Times New Roman"/>
          <w:color w:val="auto"/>
          <w:sz w:val="32"/>
          <w:szCs w:val="32"/>
          <w:highlight w:val="none"/>
          <w:lang w:val="en-US" w:eastAsia="zh-CN"/>
        </w:rPr>
        <w:t>456.41</w:t>
      </w:r>
      <w:r>
        <w:rPr>
          <w:rFonts w:hint="eastAsia" w:ascii="Times New Roman" w:eastAsia="方正仿宋简体" w:cs="Times New Roman"/>
          <w:color w:val="auto"/>
          <w:sz w:val="32"/>
          <w:szCs w:val="32"/>
          <w:highlight w:val="none"/>
        </w:rPr>
        <w:t>万人次，同比增长</w:t>
      </w:r>
      <w:r>
        <w:rPr>
          <w:rFonts w:hint="eastAsia" w:ascii="Times New Roman" w:eastAsia="方正仿宋简体" w:cs="Times New Roman"/>
          <w:color w:val="auto"/>
          <w:sz w:val="32"/>
          <w:szCs w:val="32"/>
          <w:highlight w:val="none"/>
          <w:lang w:val="en-US" w:eastAsia="zh-CN"/>
        </w:rPr>
        <w:t>145.8</w:t>
      </w:r>
      <w:r>
        <w:rPr>
          <w:rFonts w:hint="eastAsia" w:ascii="Times New Roman" w:eastAsia="方正仿宋简体" w:cs="Times New Roman"/>
          <w:color w:val="auto"/>
          <w:sz w:val="32"/>
          <w:szCs w:val="32"/>
          <w:highlight w:val="none"/>
        </w:rPr>
        <w:t>%；旅游收入</w:t>
      </w:r>
      <w:r>
        <w:rPr>
          <w:rFonts w:hint="eastAsia" w:ascii="Times New Roman" w:eastAsia="方正仿宋简体" w:cs="Times New Roman"/>
          <w:color w:val="auto"/>
          <w:sz w:val="32"/>
          <w:szCs w:val="32"/>
          <w:highlight w:val="none"/>
          <w:lang w:val="en-US" w:eastAsia="zh-CN"/>
        </w:rPr>
        <w:t>14.84</w:t>
      </w:r>
      <w:r>
        <w:rPr>
          <w:rFonts w:hint="eastAsia" w:ascii="Times New Roman" w:eastAsia="方正仿宋简体" w:cs="Times New Roman"/>
          <w:color w:val="auto"/>
          <w:sz w:val="32"/>
          <w:szCs w:val="32"/>
          <w:highlight w:val="none"/>
        </w:rPr>
        <w:t>亿元，同比增长</w:t>
      </w:r>
      <w:r>
        <w:rPr>
          <w:rFonts w:hint="eastAsia" w:ascii="Times New Roman" w:eastAsia="方正仿宋简体" w:cs="Times New Roman"/>
          <w:color w:val="auto"/>
          <w:sz w:val="32"/>
          <w:szCs w:val="32"/>
          <w:highlight w:val="none"/>
          <w:lang w:val="en-US" w:eastAsia="zh-CN"/>
        </w:rPr>
        <w:t>94.2</w:t>
      </w:r>
      <w:r>
        <w:rPr>
          <w:rFonts w:hint="eastAsia" w:ascii="Times New Roman" w:eastAsia="方正仿宋简体" w:cs="Times New Roman"/>
          <w:color w:val="auto"/>
          <w:sz w:val="32"/>
          <w:szCs w:val="32"/>
          <w:highlight w:val="none"/>
        </w:rPr>
        <w:t>%。目前全县共拥有A级景区</w:t>
      </w:r>
      <w:r>
        <w:rPr>
          <w:rFonts w:hint="eastAsia" w:ascii="Times New Roman" w:eastAsia="方正仿宋简体" w:cs="Times New Roman"/>
          <w:color w:val="auto"/>
          <w:sz w:val="32"/>
          <w:szCs w:val="32"/>
          <w:highlight w:val="none"/>
          <w:lang w:val="en-US" w:eastAsia="zh-CN"/>
        </w:rPr>
        <w:t>5</w:t>
      </w:r>
      <w:r>
        <w:rPr>
          <w:rFonts w:hint="eastAsia" w:ascii="Times New Roman" w:eastAsia="方正仿宋简体" w:cs="Times New Roman"/>
          <w:color w:val="auto"/>
          <w:sz w:val="32"/>
          <w:szCs w:val="32"/>
          <w:highlight w:val="none"/>
        </w:rPr>
        <w:t>处，其中：</w:t>
      </w:r>
      <w:r>
        <w:rPr>
          <w:rFonts w:hint="eastAsia" w:ascii="Times New Roman" w:eastAsia="方正仿宋简体" w:cs="Times New Roman"/>
          <w:color w:val="auto"/>
          <w:sz w:val="32"/>
          <w:szCs w:val="32"/>
          <w:highlight w:val="none"/>
          <w:lang w:val="en-US" w:eastAsia="zh-CN"/>
        </w:rPr>
        <w:t>4A级1处；</w:t>
      </w:r>
      <w:r>
        <w:rPr>
          <w:rFonts w:hint="eastAsia" w:ascii="Times New Roman" w:eastAsia="方正仿宋简体" w:cs="Times New Roman"/>
          <w:color w:val="auto"/>
          <w:sz w:val="32"/>
          <w:szCs w:val="32"/>
          <w:highlight w:val="none"/>
        </w:rPr>
        <w:t>3A级</w:t>
      </w:r>
      <w:r>
        <w:rPr>
          <w:rFonts w:hint="eastAsia" w:ascii="Times New Roman" w:eastAsia="方正仿宋简体" w:cs="Times New Roman"/>
          <w:color w:val="auto"/>
          <w:sz w:val="32"/>
          <w:szCs w:val="32"/>
          <w:highlight w:val="none"/>
          <w:lang w:val="en-US" w:eastAsia="zh-CN"/>
        </w:rPr>
        <w:t>4</w:t>
      </w:r>
      <w:r>
        <w:rPr>
          <w:rFonts w:hint="eastAsia" w:ascii="Times New Roman" w:eastAsia="方正仿宋简体" w:cs="Times New Roman"/>
          <w:color w:val="auto"/>
          <w:sz w:val="32"/>
          <w:szCs w:val="32"/>
          <w:highlight w:val="none"/>
        </w:rPr>
        <w:t>处；</w:t>
      </w:r>
      <w:r>
        <w:rPr>
          <w:rFonts w:hint="eastAsia" w:ascii="Times New Roman" w:eastAsia="方正仿宋简体" w:cs="Times New Roman"/>
          <w:color w:val="auto"/>
          <w:sz w:val="32"/>
          <w:szCs w:val="32"/>
          <w:highlight w:val="none"/>
          <w:lang w:eastAsia="zh-CN"/>
        </w:rPr>
        <w:t>三</w:t>
      </w:r>
      <w:r>
        <w:rPr>
          <w:rFonts w:hint="eastAsia" w:ascii="Times New Roman" w:eastAsia="方正仿宋简体" w:cs="Times New Roman"/>
          <w:color w:val="auto"/>
          <w:sz w:val="32"/>
          <w:szCs w:val="32"/>
          <w:highlight w:val="none"/>
        </w:rPr>
        <w:t>星级饭店</w:t>
      </w:r>
      <w:r>
        <w:rPr>
          <w:rFonts w:hint="eastAsia" w:ascii="Times New Roman" w:eastAsia="方正仿宋简体" w:cs="Times New Roman"/>
          <w:color w:val="auto"/>
          <w:sz w:val="32"/>
          <w:szCs w:val="32"/>
          <w:highlight w:val="none"/>
          <w:lang w:val="en-US" w:eastAsia="zh-CN"/>
        </w:rPr>
        <w:t>3</w:t>
      </w:r>
      <w:r>
        <w:rPr>
          <w:rFonts w:hint="eastAsia" w:ascii="Times New Roman" w:eastAsia="方正仿宋简体" w:cs="Times New Roman"/>
          <w:color w:val="auto"/>
          <w:sz w:val="32"/>
          <w:szCs w:val="32"/>
          <w:highlight w:val="none"/>
        </w:rPr>
        <w:t>家；星级农（牧）家乐</w:t>
      </w:r>
      <w:r>
        <w:rPr>
          <w:rFonts w:hint="eastAsia" w:ascii="Times New Roman" w:eastAsia="方正仿宋简体" w:cs="Times New Roman"/>
          <w:color w:val="auto"/>
          <w:sz w:val="32"/>
          <w:szCs w:val="32"/>
          <w:highlight w:val="none"/>
          <w:lang w:val="en-US" w:eastAsia="zh-CN"/>
        </w:rPr>
        <w:t>6</w:t>
      </w:r>
      <w:r>
        <w:rPr>
          <w:rFonts w:hint="eastAsia" w:ascii="Times New Roman" w:eastAsia="方正仿宋简体" w:cs="Times New Roman"/>
          <w:color w:val="auto"/>
          <w:sz w:val="32"/>
          <w:szCs w:val="32"/>
          <w:highlight w:val="none"/>
          <w:lang w:eastAsia="zh-CN"/>
        </w:rPr>
        <w:t>家（四星级</w:t>
      </w:r>
      <w:r>
        <w:rPr>
          <w:rFonts w:hint="eastAsia" w:ascii="Times New Roman" w:eastAsia="方正仿宋简体" w:cs="Times New Roman"/>
          <w:color w:val="auto"/>
          <w:sz w:val="32"/>
          <w:szCs w:val="32"/>
          <w:highlight w:val="none"/>
          <w:lang w:val="en-US" w:eastAsia="zh-CN"/>
        </w:rPr>
        <w:t>2家、三星级4家</w:t>
      </w:r>
      <w:r>
        <w:rPr>
          <w:rFonts w:hint="eastAsia" w:ascii="Times New Roman" w:eastAsia="方正仿宋简体" w:cs="Times New Roman"/>
          <w:color w:val="auto"/>
          <w:sz w:val="32"/>
          <w:szCs w:val="32"/>
          <w:highlight w:val="none"/>
          <w:lang w:eastAsia="zh-CN"/>
        </w:rPr>
        <w:t>）</w:t>
      </w:r>
      <w:r>
        <w:rPr>
          <w:rFonts w:hint="eastAsia" w:ascii="Times New Roman" w:eastAsia="方正仿宋简体" w:cs="Times New Roman"/>
          <w:color w:val="auto"/>
          <w:sz w:val="32"/>
          <w:szCs w:val="32"/>
          <w:highlight w:val="none"/>
        </w:rPr>
        <w:t>，旅行社</w:t>
      </w:r>
      <w:r>
        <w:rPr>
          <w:rFonts w:hint="eastAsia" w:ascii="Times New Roman" w:eastAsia="方正仿宋简体" w:cs="Times New Roman"/>
          <w:color w:val="auto"/>
          <w:sz w:val="32"/>
          <w:szCs w:val="32"/>
          <w:highlight w:val="none"/>
          <w:lang w:val="en-US" w:eastAsia="zh-CN"/>
        </w:rPr>
        <w:t>1</w:t>
      </w:r>
      <w:r>
        <w:rPr>
          <w:rFonts w:hint="eastAsia" w:ascii="Times New Roman" w:eastAsia="方正仿宋简体" w:cs="Times New Roman"/>
          <w:color w:val="auto"/>
          <w:sz w:val="32"/>
          <w:szCs w:val="32"/>
          <w:highlight w:val="none"/>
        </w:rPr>
        <w:t xml:space="preserve">家。 </w:t>
      </w:r>
    </w:p>
    <w:p>
      <w:pPr>
        <w:pStyle w:val="6"/>
        <w:spacing w:beforeLines="100" w:afterLines="100" w:line="620" w:lineRule="exact"/>
        <w:jc w:val="center"/>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sz w:val="32"/>
          <w:szCs w:val="32"/>
        </w:rPr>
        <w:t>十一、资源、环境</w:t>
      </w:r>
    </w:p>
    <w:p>
      <w:pPr>
        <w:spacing w:line="620" w:lineRule="exact"/>
        <w:ind w:firstLine="640" w:firstLineChars="200"/>
        <w:rPr>
          <w:rFonts w:eastAsia="方正仿宋简体"/>
          <w:color w:val="auto"/>
          <w:sz w:val="32"/>
          <w:szCs w:val="32"/>
          <w:highlight w:val="none"/>
        </w:rPr>
      </w:pPr>
      <w:r>
        <w:rPr>
          <w:rFonts w:hint="eastAsia" w:eastAsia="方正仿宋简体"/>
          <w:color w:val="auto"/>
          <w:sz w:val="32"/>
          <w:szCs w:val="32"/>
          <w:highlight w:val="none"/>
        </w:rPr>
        <w:t>全年用水总量</w:t>
      </w:r>
      <w:r>
        <w:rPr>
          <w:rFonts w:hint="eastAsia" w:eastAsia="方正仿宋简体"/>
          <w:color w:val="auto"/>
          <w:sz w:val="32"/>
          <w:szCs w:val="32"/>
          <w:highlight w:val="none"/>
          <w:lang w:val="en-US" w:eastAsia="zh-CN"/>
        </w:rPr>
        <w:t>94398</w:t>
      </w:r>
      <w:r>
        <w:rPr>
          <w:rFonts w:hint="eastAsia" w:eastAsia="方正仿宋简体"/>
          <w:color w:val="auto"/>
          <w:sz w:val="32"/>
          <w:szCs w:val="32"/>
          <w:highlight w:val="none"/>
        </w:rPr>
        <w:t>万立方米，其中：农业用水</w:t>
      </w:r>
      <w:r>
        <w:rPr>
          <w:rFonts w:hint="eastAsia" w:eastAsia="方正仿宋简体"/>
          <w:color w:val="auto"/>
          <w:sz w:val="32"/>
          <w:szCs w:val="32"/>
          <w:highlight w:val="none"/>
          <w:lang w:val="en-US" w:eastAsia="zh-CN"/>
        </w:rPr>
        <w:t>87644</w:t>
      </w:r>
      <w:r>
        <w:rPr>
          <w:rFonts w:hint="eastAsia" w:eastAsia="方正仿宋简体"/>
          <w:color w:val="auto"/>
          <w:sz w:val="32"/>
          <w:szCs w:val="32"/>
          <w:highlight w:val="none"/>
        </w:rPr>
        <w:t>万立方米</w:t>
      </w:r>
      <w:r>
        <w:rPr>
          <w:rFonts w:hint="eastAsia" w:eastAsia="方正仿宋简体"/>
          <w:color w:val="auto"/>
          <w:sz w:val="32"/>
          <w:szCs w:val="32"/>
          <w:highlight w:val="none"/>
          <w:lang w:eastAsia="zh-CN"/>
        </w:rPr>
        <w:t>（其中微咸水用水量为</w:t>
      </w:r>
      <w:r>
        <w:rPr>
          <w:rFonts w:hint="eastAsia" w:eastAsia="方正仿宋简体"/>
          <w:color w:val="auto"/>
          <w:sz w:val="32"/>
          <w:szCs w:val="32"/>
          <w:highlight w:val="none"/>
          <w:lang w:val="en-US" w:eastAsia="zh-CN"/>
        </w:rPr>
        <w:t>5100万立方米）</w:t>
      </w:r>
      <w:r>
        <w:rPr>
          <w:rFonts w:hint="eastAsia" w:eastAsia="方正仿宋简体"/>
          <w:color w:val="auto"/>
          <w:sz w:val="32"/>
          <w:szCs w:val="32"/>
          <w:highlight w:val="none"/>
        </w:rPr>
        <w:t>，工业用水</w:t>
      </w:r>
      <w:r>
        <w:rPr>
          <w:rFonts w:hint="eastAsia" w:eastAsia="方正仿宋简体"/>
          <w:color w:val="auto"/>
          <w:sz w:val="32"/>
          <w:szCs w:val="32"/>
          <w:highlight w:val="none"/>
          <w:lang w:val="en-US" w:eastAsia="zh-CN"/>
        </w:rPr>
        <w:t>21</w:t>
      </w:r>
      <w:r>
        <w:rPr>
          <w:rFonts w:hint="eastAsia" w:eastAsia="方正仿宋简体"/>
          <w:color w:val="auto"/>
          <w:sz w:val="32"/>
          <w:szCs w:val="32"/>
          <w:highlight w:val="none"/>
        </w:rPr>
        <w:t>万立方米，生活用水</w:t>
      </w:r>
      <w:r>
        <w:rPr>
          <w:rFonts w:hint="eastAsia" w:eastAsia="方正仿宋简体"/>
          <w:color w:val="auto"/>
          <w:sz w:val="32"/>
          <w:szCs w:val="32"/>
          <w:highlight w:val="none"/>
          <w:lang w:val="en-US" w:eastAsia="zh-CN"/>
        </w:rPr>
        <w:t>2011</w:t>
      </w:r>
      <w:r>
        <w:rPr>
          <w:rFonts w:hint="eastAsia" w:eastAsia="方正仿宋简体"/>
          <w:color w:val="auto"/>
          <w:sz w:val="32"/>
          <w:szCs w:val="32"/>
          <w:highlight w:val="none"/>
        </w:rPr>
        <w:t>万立方米，人工生态环境补水</w:t>
      </w:r>
      <w:r>
        <w:rPr>
          <w:rFonts w:hint="eastAsia" w:eastAsia="方正仿宋简体"/>
          <w:color w:val="auto"/>
          <w:sz w:val="32"/>
          <w:szCs w:val="32"/>
          <w:highlight w:val="none"/>
          <w:lang w:val="en-US" w:eastAsia="zh-CN"/>
        </w:rPr>
        <w:t>4722</w:t>
      </w:r>
      <w:r>
        <w:rPr>
          <w:rFonts w:hint="eastAsia" w:eastAsia="方正仿宋简体"/>
          <w:color w:val="auto"/>
          <w:sz w:val="32"/>
          <w:szCs w:val="32"/>
          <w:highlight w:val="none"/>
        </w:rPr>
        <w:t>万立方米。</w:t>
      </w:r>
    </w:p>
    <w:p>
      <w:pPr>
        <w:spacing w:line="620" w:lineRule="exact"/>
        <w:ind w:firstLine="640" w:firstLineChars="200"/>
        <w:rPr>
          <w:rFonts w:eastAsia="方正仿宋简体"/>
          <w:color w:val="auto"/>
          <w:sz w:val="32"/>
          <w:szCs w:val="32"/>
          <w:highlight w:val="none"/>
        </w:rPr>
      </w:pPr>
      <w:r>
        <w:rPr>
          <w:rFonts w:hint="eastAsia" w:eastAsia="方正仿宋简体"/>
          <w:color w:val="auto"/>
          <w:sz w:val="32"/>
          <w:szCs w:val="32"/>
          <w:highlight w:val="none"/>
        </w:rPr>
        <w:t>全年</w:t>
      </w:r>
      <w:r>
        <w:rPr>
          <w:rFonts w:hint="eastAsia" w:eastAsia="方正仿宋简体"/>
          <w:color w:val="auto"/>
          <w:sz w:val="32"/>
          <w:szCs w:val="32"/>
          <w:highlight w:val="none"/>
          <w:lang w:eastAsia="zh-CN"/>
        </w:rPr>
        <w:t>开展</w:t>
      </w:r>
      <w:r>
        <w:rPr>
          <w:rFonts w:hint="eastAsia" w:eastAsia="方正仿宋简体"/>
          <w:color w:val="auto"/>
          <w:sz w:val="32"/>
          <w:szCs w:val="32"/>
          <w:highlight w:val="none"/>
        </w:rPr>
        <w:t>造林面积</w:t>
      </w:r>
      <w:r>
        <w:rPr>
          <w:rFonts w:hint="eastAsia" w:eastAsia="方正仿宋简体"/>
          <w:color w:val="auto"/>
          <w:sz w:val="32"/>
          <w:szCs w:val="32"/>
          <w:highlight w:val="none"/>
          <w:lang w:val="en-US" w:eastAsia="zh-CN"/>
        </w:rPr>
        <w:t>1335</w:t>
      </w:r>
      <w:r>
        <w:rPr>
          <w:rFonts w:hint="eastAsia" w:eastAsia="方正仿宋简体"/>
          <w:color w:val="auto"/>
          <w:sz w:val="32"/>
          <w:szCs w:val="32"/>
          <w:highlight w:val="none"/>
        </w:rPr>
        <w:t>亩，其中：生态林</w:t>
      </w:r>
      <w:r>
        <w:rPr>
          <w:rFonts w:hint="eastAsia" w:eastAsia="方正仿宋简体"/>
          <w:color w:val="auto"/>
          <w:sz w:val="32"/>
          <w:szCs w:val="32"/>
          <w:highlight w:val="none"/>
          <w:lang w:val="en-US" w:eastAsia="zh-CN"/>
        </w:rPr>
        <w:t>1335</w:t>
      </w:r>
      <w:r>
        <w:rPr>
          <w:rFonts w:hint="eastAsia" w:eastAsia="方正仿宋简体"/>
          <w:color w:val="auto"/>
          <w:sz w:val="32"/>
          <w:szCs w:val="32"/>
          <w:highlight w:val="none"/>
        </w:rPr>
        <w:t>亩。森林覆盖率</w:t>
      </w:r>
      <w:r>
        <w:rPr>
          <w:rFonts w:hint="eastAsia" w:eastAsia="方正仿宋简体"/>
          <w:color w:val="auto"/>
          <w:sz w:val="32"/>
          <w:szCs w:val="32"/>
          <w:highlight w:val="none"/>
          <w:lang w:val="en-US" w:eastAsia="zh-CN"/>
        </w:rPr>
        <w:t>5.03</w:t>
      </w:r>
      <w:r>
        <w:rPr>
          <w:rFonts w:hint="eastAsia" w:eastAsia="方正仿宋简体"/>
          <w:color w:val="auto"/>
          <w:sz w:val="32"/>
          <w:szCs w:val="32"/>
          <w:highlight w:val="none"/>
        </w:rPr>
        <w:t>%。</w:t>
      </w:r>
    </w:p>
    <w:p>
      <w:pPr>
        <w:pStyle w:val="10"/>
        <w:widowControl/>
        <w:spacing w:before="0" w:beforeAutospacing="0" w:after="0" w:afterAutospacing="0" w:line="560" w:lineRule="exact"/>
        <w:jc w:val="both"/>
        <w:rPr>
          <w:rFonts w:ascii="方正仿宋简体" w:hAnsi="方正仿宋简体" w:eastAsia="方正仿宋简体" w:cs="方正仿宋简体"/>
          <w:b/>
          <w:bCs/>
          <w:kern w:val="2"/>
          <w:sz w:val="28"/>
          <w:szCs w:val="28"/>
        </w:rPr>
      </w:pPr>
    </w:p>
    <w:p>
      <w:pPr>
        <w:pStyle w:val="10"/>
        <w:widowControl/>
        <w:spacing w:before="0" w:beforeAutospacing="0" w:after="0" w:afterAutospacing="0" w:line="440" w:lineRule="exact"/>
        <w:ind w:firstLine="562" w:firstLineChars="200"/>
        <w:jc w:val="both"/>
        <w:rPr>
          <w:rFonts w:eastAsia="方正仿宋简体"/>
          <w:b/>
          <w:bCs/>
          <w:kern w:val="2"/>
          <w:sz w:val="28"/>
          <w:szCs w:val="28"/>
        </w:rPr>
      </w:pPr>
      <w:r>
        <w:rPr>
          <w:rFonts w:eastAsia="方正仿宋简体"/>
          <w:b/>
          <w:bCs/>
          <w:kern w:val="2"/>
          <w:sz w:val="28"/>
          <w:szCs w:val="28"/>
        </w:rPr>
        <w:t>注：</w:t>
      </w:r>
    </w:p>
    <w:p>
      <w:pPr>
        <w:pStyle w:val="10"/>
        <w:widowControl/>
        <w:spacing w:before="0" w:beforeAutospacing="0" w:after="0" w:afterAutospacing="0" w:line="440" w:lineRule="exact"/>
        <w:jc w:val="both"/>
        <w:rPr>
          <w:rFonts w:eastAsia="方正仿宋简体"/>
          <w:kern w:val="2"/>
          <w:sz w:val="28"/>
          <w:szCs w:val="28"/>
        </w:rPr>
      </w:pPr>
      <w:r>
        <w:rPr>
          <w:rFonts w:eastAsia="方正仿宋简体"/>
          <w:kern w:val="2"/>
          <w:sz w:val="28"/>
          <w:szCs w:val="28"/>
        </w:rPr>
        <w:t>　　[1]本公报中数据为初步反馈统计数。部分数据因四舍五入的原因，存在总计与分项合计不等的情况。</w:t>
      </w:r>
    </w:p>
    <w:p>
      <w:pPr>
        <w:pStyle w:val="10"/>
        <w:widowControl/>
        <w:spacing w:before="0" w:beforeAutospacing="0" w:after="0" w:afterAutospacing="0" w:line="440" w:lineRule="exact"/>
        <w:ind w:firstLine="560"/>
        <w:jc w:val="both"/>
        <w:rPr>
          <w:rFonts w:eastAsia="方正仿宋简体"/>
          <w:kern w:val="2"/>
          <w:sz w:val="28"/>
          <w:szCs w:val="28"/>
        </w:rPr>
      </w:pPr>
      <w:r>
        <w:rPr>
          <w:rFonts w:eastAsia="方正仿宋简体"/>
          <w:kern w:val="2"/>
          <w:sz w:val="28"/>
          <w:szCs w:val="28"/>
        </w:rPr>
        <w:t>[2]地区生产总值（GDP）、各产业增加值绝对数按现价计算，增长速度按可比价格计算。</w:t>
      </w:r>
    </w:p>
    <w:p>
      <w:pPr>
        <w:pStyle w:val="10"/>
        <w:widowControl/>
        <w:spacing w:before="0" w:beforeAutospacing="0" w:after="0" w:afterAutospacing="0" w:line="440" w:lineRule="exact"/>
        <w:ind w:firstLine="560"/>
        <w:jc w:val="both"/>
        <w:rPr>
          <w:rFonts w:eastAsia="方正仿宋简体"/>
          <w:kern w:val="2"/>
          <w:sz w:val="28"/>
          <w:szCs w:val="28"/>
        </w:rPr>
      </w:pPr>
      <w:r>
        <w:rPr>
          <w:rFonts w:eastAsia="方正仿宋简体"/>
          <w:kern w:val="2"/>
          <w:sz w:val="28"/>
          <w:szCs w:val="28"/>
        </w:rPr>
        <w:t>[3]规模以上工业企业是指辖区内年营业收入2000万元及以上工业法人单位。</w:t>
      </w:r>
    </w:p>
    <w:p>
      <w:pPr>
        <w:pStyle w:val="10"/>
        <w:widowControl/>
        <w:spacing w:before="0" w:beforeAutospacing="0" w:after="0" w:afterAutospacing="0" w:line="440" w:lineRule="exact"/>
        <w:ind w:firstLine="560"/>
        <w:jc w:val="both"/>
        <w:rPr>
          <w:rFonts w:eastAsia="方正仿宋简体"/>
          <w:kern w:val="2"/>
          <w:sz w:val="28"/>
          <w:szCs w:val="28"/>
        </w:rPr>
      </w:pPr>
      <w:r>
        <w:rPr>
          <w:rFonts w:eastAsia="方正仿宋简体"/>
          <w:kern w:val="2"/>
          <w:sz w:val="28"/>
          <w:szCs w:val="28"/>
        </w:rPr>
        <w:t>具有资质等级的建筑业企业是指辖区内具有建筑业资质的所有独立核算建筑业</w:t>
      </w:r>
      <w:r>
        <w:rPr>
          <w:rFonts w:hint="eastAsia" w:eastAsia="方正仿宋简体"/>
          <w:kern w:val="2"/>
          <w:sz w:val="28"/>
          <w:szCs w:val="28"/>
        </w:rPr>
        <w:t>企业（包括没有工作量的建筑业企业）及所属产业活动单位。建筑业企业资质执行住房和城乡建设部新的资质管理办法。</w:t>
      </w:r>
    </w:p>
    <w:p>
      <w:pPr>
        <w:pStyle w:val="10"/>
        <w:widowControl/>
        <w:spacing w:before="0" w:beforeAutospacing="0" w:after="0" w:afterAutospacing="0" w:line="440" w:lineRule="exact"/>
        <w:ind w:firstLine="560"/>
        <w:jc w:val="both"/>
        <w:rPr>
          <w:rFonts w:eastAsia="方正仿宋简体"/>
          <w:kern w:val="2"/>
          <w:sz w:val="28"/>
          <w:szCs w:val="28"/>
        </w:rPr>
      </w:pPr>
      <w:r>
        <w:rPr>
          <w:rFonts w:hint="eastAsia" w:eastAsia="方正仿宋简体"/>
          <w:kern w:val="2"/>
          <w:sz w:val="28"/>
          <w:szCs w:val="28"/>
        </w:rPr>
        <w:t>限额以上批发和零售业、住宿和餐饮业企业是指辖区内年营业收入2000万元及以上的批发业法人单位和辖区内年营业收入500万元及以上的零售业法人单位，以及辖区内年营业收入200万元及以上的住宿和餐饮业法人单位。</w:t>
      </w:r>
    </w:p>
    <w:p>
      <w:pPr>
        <w:pStyle w:val="10"/>
        <w:widowControl/>
        <w:spacing w:before="0" w:beforeAutospacing="0" w:after="0" w:afterAutospacing="0" w:line="440" w:lineRule="exact"/>
        <w:ind w:firstLine="560"/>
        <w:jc w:val="both"/>
        <w:rPr>
          <w:rFonts w:eastAsia="方正仿宋简体"/>
          <w:kern w:val="2"/>
          <w:sz w:val="28"/>
          <w:szCs w:val="28"/>
        </w:rPr>
      </w:pPr>
      <w:r>
        <w:rPr>
          <w:rFonts w:hint="eastAsia" w:eastAsia="方正仿宋简体"/>
          <w:kern w:val="2"/>
          <w:sz w:val="28"/>
          <w:szCs w:val="28"/>
        </w:rPr>
        <w:t>规模以上服务业企业是指辖区内年营业收入2000万元及以上交通运输、仓储和邮政业，信息传输、软件和信息技术服务业，水利、环境和公共设施管理业，卫生法人单位。辖区内年营业收入1000万元及以上租赁和商务服务业，科学研究和技术服务业，教育，以及物业管理、房地产中介服务、房地产租赁经营和其他房地产业法人单位。辖区内年营业收入500万元及以上居民服务、修理和其他服务业，文化、体育和娱乐业，社会工作</w:t>
      </w:r>
      <w:r>
        <w:rPr>
          <w:rFonts w:hint="eastAsia" w:eastAsia="方正仿宋简体"/>
          <w:kern w:val="2"/>
          <w:sz w:val="28"/>
          <w:szCs w:val="28"/>
          <w:lang w:eastAsia="zh-CN"/>
        </w:rPr>
        <w:t>业</w:t>
      </w:r>
      <w:r>
        <w:rPr>
          <w:rFonts w:hint="eastAsia" w:eastAsia="方正仿宋简体"/>
          <w:kern w:val="2"/>
          <w:sz w:val="28"/>
          <w:szCs w:val="28"/>
        </w:rPr>
        <w:t>法人单位。</w:t>
      </w:r>
    </w:p>
    <w:p>
      <w:pPr>
        <w:pStyle w:val="10"/>
        <w:widowControl/>
        <w:spacing w:before="0" w:beforeAutospacing="0" w:after="0" w:afterAutospacing="0" w:line="440" w:lineRule="exact"/>
        <w:ind w:firstLine="560"/>
        <w:jc w:val="both"/>
        <w:rPr>
          <w:rFonts w:eastAsia="方正仿宋简体"/>
          <w:b/>
          <w:bCs/>
          <w:kern w:val="2"/>
          <w:sz w:val="28"/>
          <w:szCs w:val="28"/>
        </w:rPr>
      </w:pPr>
      <w:r>
        <w:rPr>
          <w:rFonts w:hint="eastAsia" w:eastAsia="方正仿宋简体"/>
          <w:kern w:val="2"/>
          <w:sz w:val="28"/>
          <w:szCs w:val="28"/>
        </w:rPr>
        <w:t>房地产开发经营企业是指辖区内有开发经营活动的全部房地产开发经营业法人单位。</w:t>
      </w:r>
    </w:p>
    <w:p>
      <w:pPr>
        <w:pStyle w:val="10"/>
        <w:widowControl/>
        <w:spacing w:before="0" w:beforeAutospacing="0" w:after="0" w:afterAutospacing="0" w:line="440" w:lineRule="exact"/>
        <w:ind w:firstLine="562" w:firstLineChars="200"/>
        <w:jc w:val="both"/>
        <w:rPr>
          <w:rFonts w:eastAsia="方正仿宋简体"/>
          <w:b/>
          <w:bCs/>
          <w:kern w:val="2"/>
          <w:sz w:val="28"/>
          <w:szCs w:val="28"/>
        </w:rPr>
      </w:pPr>
    </w:p>
    <w:p>
      <w:pPr>
        <w:pStyle w:val="10"/>
        <w:widowControl/>
        <w:spacing w:before="0" w:beforeAutospacing="0" w:after="0" w:afterAutospacing="0" w:line="440" w:lineRule="exact"/>
        <w:ind w:firstLine="562" w:firstLineChars="200"/>
        <w:jc w:val="both"/>
        <w:rPr>
          <w:rFonts w:eastAsia="方正仿宋简体"/>
          <w:b/>
          <w:bCs/>
          <w:kern w:val="2"/>
          <w:sz w:val="28"/>
          <w:szCs w:val="28"/>
        </w:rPr>
      </w:pPr>
      <w:r>
        <w:rPr>
          <w:rFonts w:eastAsia="方正仿宋简体"/>
          <w:b/>
          <w:bCs/>
          <w:kern w:val="2"/>
          <w:sz w:val="28"/>
          <w:szCs w:val="28"/>
        </w:rPr>
        <w:t>资料来源：</w:t>
      </w:r>
    </w:p>
    <w:p>
      <w:pPr>
        <w:pStyle w:val="10"/>
        <w:spacing w:before="0" w:beforeAutospacing="0" w:after="0" w:afterAutospacing="0" w:line="440" w:lineRule="exact"/>
        <w:jc w:val="both"/>
        <w:rPr>
          <w:rFonts w:eastAsia="方正仿宋简体"/>
          <w:sz w:val="28"/>
          <w:szCs w:val="28"/>
          <w:highlight w:val="yellow"/>
        </w:rPr>
      </w:pPr>
      <w:r>
        <w:rPr>
          <w:rFonts w:eastAsia="方正仿宋简体"/>
          <w:kern w:val="2"/>
          <w:sz w:val="28"/>
          <w:szCs w:val="28"/>
        </w:rPr>
        <w:t>　　本公报</w:t>
      </w:r>
      <w:r>
        <w:rPr>
          <w:rFonts w:hint="eastAsia" w:eastAsia="方正仿宋简体"/>
          <w:kern w:val="2"/>
          <w:sz w:val="28"/>
          <w:szCs w:val="28"/>
        </w:rPr>
        <w:t>城镇新增就业、社会保障等数据来自疏勒县人力资源和社会保障局、县社会保险服务中心、县医疗保障局、民政局；粮棉、畜牧数据、城乡居民人均可支配收入来自国家统计局疏勒调查队；</w:t>
      </w:r>
      <w:r>
        <w:rPr>
          <w:rFonts w:eastAsia="方正仿宋简体"/>
          <w:kern w:val="2"/>
          <w:sz w:val="28"/>
          <w:szCs w:val="28"/>
        </w:rPr>
        <w:t>财政数据来源于财政局；</w:t>
      </w:r>
      <w:r>
        <w:rPr>
          <w:rFonts w:hint="eastAsia" w:eastAsia="方正仿宋简体"/>
          <w:kern w:val="2"/>
          <w:sz w:val="28"/>
          <w:szCs w:val="28"/>
        </w:rPr>
        <w:t>林果来自农业农村局；外贸进出口数据来自商</w:t>
      </w:r>
      <w:r>
        <w:rPr>
          <w:rFonts w:hint="eastAsia" w:eastAsia="方正仿宋简体"/>
          <w:kern w:val="2"/>
          <w:sz w:val="28"/>
          <w:szCs w:val="28"/>
          <w:lang w:eastAsia="zh-CN"/>
        </w:rPr>
        <w:t>务</w:t>
      </w:r>
      <w:r>
        <w:rPr>
          <w:rFonts w:hint="eastAsia" w:eastAsia="方正仿宋简体"/>
          <w:kern w:val="2"/>
          <w:sz w:val="28"/>
          <w:szCs w:val="28"/>
        </w:rPr>
        <w:t>局；旅游、广播、电视、文化数据来自文化</w:t>
      </w:r>
      <w:r>
        <w:rPr>
          <w:rFonts w:hint="eastAsia" w:eastAsia="方正仿宋简体"/>
          <w:kern w:val="2"/>
          <w:sz w:val="28"/>
          <w:szCs w:val="28"/>
          <w:lang w:eastAsia="zh-CN"/>
        </w:rPr>
        <w:t>体育</w:t>
      </w:r>
      <w:r>
        <w:rPr>
          <w:rFonts w:hint="eastAsia" w:eastAsia="方正仿宋简体"/>
          <w:kern w:val="2"/>
          <w:sz w:val="28"/>
          <w:szCs w:val="28"/>
        </w:rPr>
        <w:t>广播电视和旅游局、融媒体中心；</w:t>
      </w:r>
      <w:r>
        <w:rPr>
          <w:rFonts w:eastAsia="方正仿宋简体"/>
          <w:kern w:val="2"/>
          <w:sz w:val="28"/>
          <w:szCs w:val="28"/>
        </w:rPr>
        <w:t>铁路客货运输量来源于中国铁路疏勒火车站；金融信贷数据来源于中国人民银行喀什地区中心支行；保险业数据来源于喀什保险行业协会；教育数据来源于教育局；卫生数据来源于县卫生健康委员会；</w:t>
      </w:r>
      <w:r>
        <w:rPr>
          <w:rFonts w:hint="eastAsia" w:eastAsia="方正仿宋简体"/>
          <w:kern w:val="2"/>
          <w:sz w:val="28"/>
          <w:szCs w:val="28"/>
        </w:rPr>
        <w:t>科技数据来自县科学技术局；水资源数据来源于县水利局；造林面积来自自然资源局；安全生产数据来自应急管理局；其他数据均来自地区统计局。</w:t>
      </w:r>
    </w:p>
    <w:p>
      <w:pPr>
        <w:pStyle w:val="2"/>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8"/>
                            <w:jc w:val="center"/>
                            <w:rPr>
                              <w:sz w:val="28"/>
                              <w:szCs w:val="28"/>
                            </w:rPr>
                          </w:pPr>
                          <w:r>
                            <w:rPr>
                              <w:rFonts w:hint="eastAsia"/>
                              <w:sz w:val="28"/>
                              <w:szCs w:val="28"/>
                            </w:rPr>
                            <w:t xml:space="preserve">— </w:t>
                          </w:r>
                          <w:r>
                            <w:rPr>
                              <w:rFonts w:hint="eastAsia"/>
                              <w:sz w:val="28"/>
                              <w:szCs w:val="28"/>
                            </w:rPr>
                            <w:fldChar w:fldCharType="begin"/>
                          </w:r>
                          <w:r>
                            <w:rPr>
                              <w:rFonts w:hint="eastAsia" w:ascii="宋体" w:hAnsi="宋体" w:cs="宋体"/>
                              <w:sz w:val="28"/>
                              <w:szCs w:val="28"/>
                            </w:rPr>
                            <w:instrText xml:space="preserve"> PAGE  \* MERGEFORMAT </w:instrText>
                          </w:r>
                          <w:r>
                            <w:rPr>
                              <w:rFonts w:hint="eastAsia"/>
                              <w:sz w:val="28"/>
                              <w:szCs w:val="28"/>
                            </w:rPr>
                            <w:fldChar w:fldCharType="separate"/>
                          </w:r>
                          <w:r>
                            <w:rPr>
                              <w:rFonts w:ascii="宋体" w:hAnsi="宋体" w:cs="宋体"/>
                              <w:sz w:val="28"/>
                              <w:szCs w:val="28"/>
                            </w:rPr>
                            <w:t>13</w:t>
                          </w:r>
                          <w:r>
                            <w:rPr>
                              <w:rFonts w:hint="eastAsia"/>
                              <w:sz w:val="28"/>
                              <w:szCs w:val="28"/>
                            </w:rPr>
                            <w:fldChar w:fldCharType="end"/>
                          </w:r>
                          <w:r>
                            <w:rPr>
                              <w:rFonts w:hint="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GmC&#10;S9MAAAAFAQAADwAAAAAAAAABACAAAAAiAAAAZHJzL2Rvd25yZXYueG1sUEsBAhQAFAAAAAgAh07i&#10;QEJY46y1AQAAVwMAAA4AAAAAAAAAAQAgAAAAIgEAAGRycy9lMm9Eb2MueG1sUEsFBgAAAAAGAAYA&#10;WQEAAEkFAAAAAA==&#10;">
              <v:fill on="f" focussize="0,0"/>
              <v:stroke on="f" weight="1.25pt"/>
              <v:imagedata o:title=""/>
              <o:lock v:ext="edit" aspectratio="f"/>
              <v:textbox inset="0mm,0mm,0mm,0mm" style="mso-fit-shape-to-text:t;">
                <w:txbxContent>
                  <w:p>
                    <w:pPr>
                      <w:pStyle w:val="8"/>
                      <w:jc w:val="center"/>
                      <w:rPr>
                        <w:sz w:val="28"/>
                        <w:szCs w:val="28"/>
                      </w:rPr>
                    </w:pPr>
                    <w:r>
                      <w:rPr>
                        <w:rFonts w:hint="eastAsia"/>
                        <w:sz w:val="28"/>
                        <w:szCs w:val="28"/>
                      </w:rPr>
                      <w:t xml:space="preserve">— </w:t>
                    </w:r>
                    <w:r>
                      <w:rPr>
                        <w:rFonts w:hint="eastAsia"/>
                        <w:sz w:val="28"/>
                        <w:szCs w:val="28"/>
                      </w:rPr>
                      <w:fldChar w:fldCharType="begin"/>
                    </w:r>
                    <w:r>
                      <w:rPr>
                        <w:rFonts w:hint="eastAsia" w:ascii="宋体" w:hAnsi="宋体" w:cs="宋体"/>
                        <w:sz w:val="28"/>
                        <w:szCs w:val="28"/>
                      </w:rPr>
                      <w:instrText xml:space="preserve"> PAGE  \* MERGEFORMAT </w:instrText>
                    </w:r>
                    <w:r>
                      <w:rPr>
                        <w:rFonts w:hint="eastAsia"/>
                        <w:sz w:val="28"/>
                        <w:szCs w:val="28"/>
                      </w:rPr>
                      <w:fldChar w:fldCharType="separate"/>
                    </w:r>
                    <w:r>
                      <w:rPr>
                        <w:rFonts w:ascii="宋体" w:hAnsi="宋体" w:cs="宋体"/>
                        <w:sz w:val="28"/>
                        <w:szCs w:val="28"/>
                      </w:rPr>
                      <w:t>13</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867"/>
    <w:rsid w:val="000176C4"/>
    <w:rsid w:val="00020197"/>
    <w:rsid w:val="0006254E"/>
    <w:rsid w:val="00077945"/>
    <w:rsid w:val="00172A27"/>
    <w:rsid w:val="00180D75"/>
    <w:rsid w:val="001835EF"/>
    <w:rsid w:val="001D381C"/>
    <w:rsid w:val="001E5EDD"/>
    <w:rsid w:val="001F582C"/>
    <w:rsid w:val="00251D5E"/>
    <w:rsid w:val="002D12AB"/>
    <w:rsid w:val="00331D27"/>
    <w:rsid w:val="00344E1F"/>
    <w:rsid w:val="00395B6B"/>
    <w:rsid w:val="004177FA"/>
    <w:rsid w:val="0043027E"/>
    <w:rsid w:val="00443126"/>
    <w:rsid w:val="00536AA8"/>
    <w:rsid w:val="00552B61"/>
    <w:rsid w:val="00570650"/>
    <w:rsid w:val="005B0D2C"/>
    <w:rsid w:val="005C4303"/>
    <w:rsid w:val="00612EBE"/>
    <w:rsid w:val="0062557A"/>
    <w:rsid w:val="00685773"/>
    <w:rsid w:val="006A1DA8"/>
    <w:rsid w:val="006A270D"/>
    <w:rsid w:val="006D5D8C"/>
    <w:rsid w:val="006D6D16"/>
    <w:rsid w:val="00714F2A"/>
    <w:rsid w:val="00804D02"/>
    <w:rsid w:val="008217FD"/>
    <w:rsid w:val="0087125E"/>
    <w:rsid w:val="00887FF0"/>
    <w:rsid w:val="008A01A4"/>
    <w:rsid w:val="008E0CB9"/>
    <w:rsid w:val="008F1CC6"/>
    <w:rsid w:val="008F5A47"/>
    <w:rsid w:val="009011C3"/>
    <w:rsid w:val="00947872"/>
    <w:rsid w:val="009D2D39"/>
    <w:rsid w:val="00A16DD0"/>
    <w:rsid w:val="00A459EC"/>
    <w:rsid w:val="00AC42CD"/>
    <w:rsid w:val="00AF1DBF"/>
    <w:rsid w:val="00B3727A"/>
    <w:rsid w:val="00BC6453"/>
    <w:rsid w:val="00C31619"/>
    <w:rsid w:val="00C323F9"/>
    <w:rsid w:val="00C443CF"/>
    <w:rsid w:val="00C626FD"/>
    <w:rsid w:val="00D51EED"/>
    <w:rsid w:val="00D67145"/>
    <w:rsid w:val="00D87E3B"/>
    <w:rsid w:val="00D948F2"/>
    <w:rsid w:val="00DC7A9C"/>
    <w:rsid w:val="00DE2537"/>
    <w:rsid w:val="00DF5C4A"/>
    <w:rsid w:val="00E21C29"/>
    <w:rsid w:val="00E659A3"/>
    <w:rsid w:val="00E65E2C"/>
    <w:rsid w:val="00E83834"/>
    <w:rsid w:val="00F63856"/>
    <w:rsid w:val="00F82570"/>
    <w:rsid w:val="00F96CD3"/>
    <w:rsid w:val="00FA7F5D"/>
    <w:rsid w:val="019D4504"/>
    <w:rsid w:val="023847C2"/>
    <w:rsid w:val="02386FF3"/>
    <w:rsid w:val="034B0814"/>
    <w:rsid w:val="035F1FF4"/>
    <w:rsid w:val="03990FDB"/>
    <w:rsid w:val="03AE6DD9"/>
    <w:rsid w:val="03D066EA"/>
    <w:rsid w:val="03F233DF"/>
    <w:rsid w:val="03F60889"/>
    <w:rsid w:val="041014D1"/>
    <w:rsid w:val="04800A6A"/>
    <w:rsid w:val="04CE6407"/>
    <w:rsid w:val="050B45E1"/>
    <w:rsid w:val="0512724D"/>
    <w:rsid w:val="05CC29C0"/>
    <w:rsid w:val="0601230E"/>
    <w:rsid w:val="0605794B"/>
    <w:rsid w:val="062358AC"/>
    <w:rsid w:val="06B97F05"/>
    <w:rsid w:val="072360FB"/>
    <w:rsid w:val="07A3665F"/>
    <w:rsid w:val="07C31143"/>
    <w:rsid w:val="08071D02"/>
    <w:rsid w:val="086817D7"/>
    <w:rsid w:val="089945E0"/>
    <w:rsid w:val="08B54449"/>
    <w:rsid w:val="08D87960"/>
    <w:rsid w:val="08ED3211"/>
    <w:rsid w:val="095D263D"/>
    <w:rsid w:val="09A60F85"/>
    <w:rsid w:val="0A2B5BEB"/>
    <w:rsid w:val="0B3C37B6"/>
    <w:rsid w:val="0B5329D2"/>
    <w:rsid w:val="0B767763"/>
    <w:rsid w:val="0BAA1EDF"/>
    <w:rsid w:val="0C05312B"/>
    <w:rsid w:val="0C726089"/>
    <w:rsid w:val="0C8F16CA"/>
    <w:rsid w:val="0CAC122A"/>
    <w:rsid w:val="0CCD000A"/>
    <w:rsid w:val="0D3A6D40"/>
    <w:rsid w:val="0D5845D4"/>
    <w:rsid w:val="0DF3493D"/>
    <w:rsid w:val="0DFD732E"/>
    <w:rsid w:val="0E651055"/>
    <w:rsid w:val="0F257E62"/>
    <w:rsid w:val="0FE3775B"/>
    <w:rsid w:val="105477E7"/>
    <w:rsid w:val="109D5A5B"/>
    <w:rsid w:val="10BD545A"/>
    <w:rsid w:val="110B1F6B"/>
    <w:rsid w:val="11327654"/>
    <w:rsid w:val="11970B05"/>
    <w:rsid w:val="122F198F"/>
    <w:rsid w:val="129A38AE"/>
    <w:rsid w:val="13073214"/>
    <w:rsid w:val="13252B0F"/>
    <w:rsid w:val="137C738D"/>
    <w:rsid w:val="13C51E63"/>
    <w:rsid w:val="14097B34"/>
    <w:rsid w:val="142E5ED4"/>
    <w:rsid w:val="14963ECE"/>
    <w:rsid w:val="161C3AB9"/>
    <w:rsid w:val="161F43AC"/>
    <w:rsid w:val="168259E0"/>
    <w:rsid w:val="169F417B"/>
    <w:rsid w:val="17006648"/>
    <w:rsid w:val="17A534A2"/>
    <w:rsid w:val="17C13A43"/>
    <w:rsid w:val="181C179E"/>
    <w:rsid w:val="183C6575"/>
    <w:rsid w:val="18430868"/>
    <w:rsid w:val="185F4619"/>
    <w:rsid w:val="186D691D"/>
    <w:rsid w:val="18C819C5"/>
    <w:rsid w:val="1900452A"/>
    <w:rsid w:val="198024DC"/>
    <w:rsid w:val="19B2162E"/>
    <w:rsid w:val="19DA1AF0"/>
    <w:rsid w:val="19E05771"/>
    <w:rsid w:val="1A104F83"/>
    <w:rsid w:val="1AF879E3"/>
    <w:rsid w:val="1B9C0CA6"/>
    <w:rsid w:val="1BC54F53"/>
    <w:rsid w:val="1C3F4A0D"/>
    <w:rsid w:val="1C880CCF"/>
    <w:rsid w:val="1C9E0EDE"/>
    <w:rsid w:val="1D5E70E6"/>
    <w:rsid w:val="1DCC3126"/>
    <w:rsid w:val="1E611CE3"/>
    <w:rsid w:val="1E9F5F16"/>
    <w:rsid w:val="1ED57BC8"/>
    <w:rsid w:val="1F0E4C51"/>
    <w:rsid w:val="1F785975"/>
    <w:rsid w:val="1F8F1423"/>
    <w:rsid w:val="1FC37854"/>
    <w:rsid w:val="1FE9221D"/>
    <w:rsid w:val="1FFE6E10"/>
    <w:rsid w:val="203915D3"/>
    <w:rsid w:val="20550530"/>
    <w:rsid w:val="20852C67"/>
    <w:rsid w:val="208C12A1"/>
    <w:rsid w:val="20B3226E"/>
    <w:rsid w:val="20D067BF"/>
    <w:rsid w:val="21F65FE3"/>
    <w:rsid w:val="226C517C"/>
    <w:rsid w:val="227B141C"/>
    <w:rsid w:val="228E6716"/>
    <w:rsid w:val="22F754BD"/>
    <w:rsid w:val="2334248C"/>
    <w:rsid w:val="23A71985"/>
    <w:rsid w:val="24352BFF"/>
    <w:rsid w:val="245A6E21"/>
    <w:rsid w:val="2469750D"/>
    <w:rsid w:val="24910981"/>
    <w:rsid w:val="24A6588E"/>
    <w:rsid w:val="24A9681F"/>
    <w:rsid w:val="24AC73A1"/>
    <w:rsid w:val="24E93365"/>
    <w:rsid w:val="2508115A"/>
    <w:rsid w:val="253B2306"/>
    <w:rsid w:val="256815D0"/>
    <w:rsid w:val="25E4036B"/>
    <w:rsid w:val="25F51050"/>
    <w:rsid w:val="25F940D8"/>
    <w:rsid w:val="2631550A"/>
    <w:rsid w:val="267E0DB3"/>
    <w:rsid w:val="26F97B8B"/>
    <w:rsid w:val="2720540B"/>
    <w:rsid w:val="275A30B6"/>
    <w:rsid w:val="27D356F5"/>
    <w:rsid w:val="27DC15F3"/>
    <w:rsid w:val="27FD3DBB"/>
    <w:rsid w:val="284E16BF"/>
    <w:rsid w:val="29632E27"/>
    <w:rsid w:val="299F77F0"/>
    <w:rsid w:val="29A470AF"/>
    <w:rsid w:val="2A15142A"/>
    <w:rsid w:val="2A5610E8"/>
    <w:rsid w:val="2A5A7B02"/>
    <w:rsid w:val="2B80740F"/>
    <w:rsid w:val="2BDA5D91"/>
    <w:rsid w:val="2C54693E"/>
    <w:rsid w:val="2C68246E"/>
    <w:rsid w:val="2CFB47E8"/>
    <w:rsid w:val="2D2E453A"/>
    <w:rsid w:val="2D480B3A"/>
    <w:rsid w:val="2D5473FB"/>
    <w:rsid w:val="2DAB6281"/>
    <w:rsid w:val="2E361347"/>
    <w:rsid w:val="2EB02E4C"/>
    <w:rsid w:val="2EE84569"/>
    <w:rsid w:val="2F6D1C43"/>
    <w:rsid w:val="2FA9153C"/>
    <w:rsid w:val="2FB8434A"/>
    <w:rsid w:val="2FF75F2E"/>
    <w:rsid w:val="300730E6"/>
    <w:rsid w:val="30924D26"/>
    <w:rsid w:val="30DF55E6"/>
    <w:rsid w:val="31014B11"/>
    <w:rsid w:val="316E6B52"/>
    <w:rsid w:val="328300E7"/>
    <w:rsid w:val="33623DF5"/>
    <w:rsid w:val="33D26077"/>
    <w:rsid w:val="35D348FF"/>
    <w:rsid w:val="360C6E70"/>
    <w:rsid w:val="36EB5922"/>
    <w:rsid w:val="37405F62"/>
    <w:rsid w:val="37681972"/>
    <w:rsid w:val="376C3B09"/>
    <w:rsid w:val="377419B3"/>
    <w:rsid w:val="3793721F"/>
    <w:rsid w:val="37EF1F17"/>
    <w:rsid w:val="384806BE"/>
    <w:rsid w:val="3917673F"/>
    <w:rsid w:val="39384D4A"/>
    <w:rsid w:val="39EE635B"/>
    <w:rsid w:val="3A5F57EE"/>
    <w:rsid w:val="3A675B32"/>
    <w:rsid w:val="3A76511A"/>
    <w:rsid w:val="3A961113"/>
    <w:rsid w:val="3B414071"/>
    <w:rsid w:val="3B504BB7"/>
    <w:rsid w:val="3B7A230E"/>
    <w:rsid w:val="3B9557A8"/>
    <w:rsid w:val="3BE51BE4"/>
    <w:rsid w:val="3C6C1878"/>
    <w:rsid w:val="3C7C2C9E"/>
    <w:rsid w:val="3C9A666E"/>
    <w:rsid w:val="3D360AE7"/>
    <w:rsid w:val="3DB160CC"/>
    <w:rsid w:val="3E333C3B"/>
    <w:rsid w:val="3E8D7E0B"/>
    <w:rsid w:val="3EBC2B32"/>
    <w:rsid w:val="3EC27618"/>
    <w:rsid w:val="3F122FF9"/>
    <w:rsid w:val="3F55023F"/>
    <w:rsid w:val="3F89026F"/>
    <w:rsid w:val="40071F79"/>
    <w:rsid w:val="40F309E7"/>
    <w:rsid w:val="412F77C8"/>
    <w:rsid w:val="420D15D6"/>
    <w:rsid w:val="4319143F"/>
    <w:rsid w:val="434216E7"/>
    <w:rsid w:val="434F51E2"/>
    <w:rsid w:val="4357243C"/>
    <w:rsid w:val="43581CAF"/>
    <w:rsid w:val="43EC0479"/>
    <w:rsid w:val="440E1E71"/>
    <w:rsid w:val="4468684F"/>
    <w:rsid w:val="448A3233"/>
    <w:rsid w:val="44EC0ABF"/>
    <w:rsid w:val="45A278A6"/>
    <w:rsid w:val="45DD4CD9"/>
    <w:rsid w:val="45FB0336"/>
    <w:rsid w:val="460A1AB5"/>
    <w:rsid w:val="467A5F99"/>
    <w:rsid w:val="46807229"/>
    <w:rsid w:val="4687580B"/>
    <w:rsid w:val="46BD4B07"/>
    <w:rsid w:val="46DF433C"/>
    <w:rsid w:val="474279E9"/>
    <w:rsid w:val="47D403E4"/>
    <w:rsid w:val="48496488"/>
    <w:rsid w:val="48996BCA"/>
    <w:rsid w:val="48F017C1"/>
    <w:rsid w:val="494A4AEA"/>
    <w:rsid w:val="4A00229D"/>
    <w:rsid w:val="4A13316D"/>
    <w:rsid w:val="4A5831B5"/>
    <w:rsid w:val="4A8B4BAC"/>
    <w:rsid w:val="4ADF6EDB"/>
    <w:rsid w:val="4B4338BE"/>
    <w:rsid w:val="4BF92CC3"/>
    <w:rsid w:val="4C077ACB"/>
    <w:rsid w:val="4C1B6443"/>
    <w:rsid w:val="4C5523A7"/>
    <w:rsid w:val="4C6929D9"/>
    <w:rsid w:val="4CB72184"/>
    <w:rsid w:val="4CFE4963"/>
    <w:rsid w:val="4CFF501D"/>
    <w:rsid w:val="4D73080F"/>
    <w:rsid w:val="4DCB46FF"/>
    <w:rsid w:val="4DCE4937"/>
    <w:rsid w:val="4DD31D44"/>
    <w:rsid w:val="4E3E0F3F"/>
    <w:rsid w:val="4E4613A1"/>
    <w:rsid w:val="4E7C650F"/>
    <w:rsid w:val="4F1E723F"/>
    <w:rsid w:val="4FD93E99"/>
    <w:rsid w:val="4FF616AA"/>
    <w:rsid w:val="5047365F"/>
    <w:rsid w:val="50B27058"/>
    <w:rsid w:val="51EE0C4E"/>
    <w:rsid w:val="526E3C46"/>
    <w:rsid w:val="52BC1E8E"/>
    <w:rsid w:val="53F82A10"/>
    <w:rsid w:val="53F82E2A"/>
    <w:rsid w:val="541E6359"/>
    <w:rsid w:val="54CA2A6C"/>
    <w:rsid w:val="54CB39AB"/>
    <w:rsid w:val="55076B3D"/>
    <w:rsid w:val="560C4C04"/>
    <w:rsid w:val="56965F13"/>
    <w:rsid w:val="56E51532"/>
    <w:rsid w:val="56EB7191"/>
    <w:rsid w:val="574903ED"/>
    <w:rsid w:val="576F76EF"/>
    <w:rsid w:val="578146B7"/>
    <w:rsid w:val="580D245F"/>
    <w:rsid w:val="58373FA9"/>
    <w:rsid w:val="591A1709"/>
    <w:rsid w:val="5A0C634E"/>
    <w:rsid w:val="5A92505E"/>
    <w:rsid w:val="5AAE058F"/>
    <w:rsid w:val="5B0D1A82"/>
    <w:rsid w:val="5B7026B1"/>
    <w:rsid w:val="5B943053"/>
    <w:rsid w:val="5BAA01F5"/>
    <w:rsid w:val="5BD9530A"/>
    <w:rsid w:val="5C0364D9"/>
    <w:rsid w:val="5C527284"/>
    <w:rsid w:val="5C533A65"/>
    <w:rsid w:val="5C720462"/>
    <w:rsid w:val="5C8B0E00"/>
    <w:rsid w:val="5C9458E0"/>
    <w:rsid w:val="5CFA6390"/>
    <w:rsid w:val="5D302603"/>
    <w:rsid w:val="5D9144A3"/>
    <w:rsid w:val="5DDD5888"/>
    <w:rsid w:val="5E520FBF"/>
    <w:rsid w:val="5E9B1C84"/>
    <w:rsid w:val="5EA95795"/>
    <w:rsid w:val="5ECB3CC7"/>
    <w:rsid w:val="5F1A11F8"/>
    <w:rsid w:val="5F5A5AA9"/>
    <w:rsid w:val="5FB729F7"/>
    <w:rsid w:val="5FDA38D5"/>
    <w:rsid w:val="5FE92F6B"/>
    <w:rsid w:val="601645B2"/>
    <w:rsid w:val="6020075A"/>
    <w:rsid w:val="605B73C2"/>
    <w:rsid w:val="60936C1A"/>
    <w:rsid w:val="614C2355"/>
    <w:rsid w:val="616206E9"/>
    <w:rsid w:val="616525D2"/>
    <w:rsid w:val="62325FC9"/>
    <w:rsid w:val="62D71471"/>
    <w:rsid w:val="63441347"/>
    <w:rsid w:val="636E24CE"/>
    <w:rsid w:val="639743A9"/>
    <w:rsid w:val="63E65EB3"/>
    <w:rsid w:val="63FF2AC3"/>
    <w:rsid w:val="64114B78"/>
    <w:rsid w:val="64314DBF"/>
    <w:rsid w:val="64616A56"/>
    <w:rsid w:val="65901C17"/>
    <w:rsid w:val="66132200"/>
    <w:rsid w:val="6630106A"/>
    <w:rsid w:val="665F1F48"/>
    <w:rsid w:val="66AB2B75"/>
    <w:rsid w:val="67042D21"/>
    <w:rsid w:val="6735199B"/>
    <w:rsid w:val="677F518D"/>
    <w:rsid w:val="680330C4"/>
    <w:rsid w:val="68AF1092"/>
    <w:rsid w:val="691E0514"/>
    <w:rsid w:val="694C3BC2"/>
    <w:rsid w:val="6A0C7CB6"/>
    <w:rsid w:val="6B2D24D4"/>
    <w:rsid w:val="6B6C5CA2"/>
    <w:rsid w:val="6BC05B93"/>
    <w:rsid w:val="6BF843D9"/>
    <w:rsid w:val="6CC75F62"/>
    <w:rsid w:val="6D983349"/>
    <w:rsid w:val="6DA1424E"/>
    <w:rsid w:val="6DE645E5"/>
    <w:rsid w:val="6DE75D8D"/>
    <w:rsid w:val="6E1A53FE"/>
    <w:rsid w:val="6E2E63FE"/>
    <w:rsid w:val="6E2F622C"/>
    <w:rsid w:val="6F131165"/>
    <w:rsid w:val="6F1501F7"/>
    <w:rsid w:val="704813D5"/>
    <w:rsid w:val="707D057F"/>
    <w:rsid w:val="70983CF8"/>
    <w:rsid w:val="70B86D80"/>
    <w:rsid w:val="71B56A84"/>
    <w:rsid w:val="72FD15AF"/>
    <w:rsid w:val="73570E96"/>
    <w:rsid w:val="738C46FA"/>
    <w:rsid w:val="73D8223B"/>
    <w:rsid w:val="74175C5A"/>
    <w:rsid w:val="74766997"/>
    <w:rsid w:val="74E7596D"/>
    <w:rsid w:val="75203A59"/>
    <w:rsid w:val="759E29FC"/>
    <w:rsid w:val="75CF6099"/>
    <w:rsid w:val="76013AF7"/>
    <w:rsid w:val="76015A2B"/>
    <w:rsid w:val="76036290"/>
    <w:rsid w:val="76283F56"/>
    <w:rsid w:val="76AB7AFF"/>
    <w:rsid w:val="77103FFF"/>
    <w:rsid w:val="77387427"/>
    <w:rsid w:val="773D6D88"/>
    <w:rsid w:val="77987056"/>
    <w:rsid w:val="77BB2DBB"/>
    <w:rsid w:val="78CC411C"/>
    <w:rsid w:val="78F714BB"/>
    <w:rsid w:val="79065EA3"/>
    <w:rsid w:val="79116739"/>
    <w:rsid w:val="79AE78F2"/>
    <w:rsid w:val="7ABA21A1"/>
    <w:rsid w:val="7AF938A8"/>
    <w:rsid w:val="7AFB553A"/>
    <w:rsid w:val="7B9D4074"/>
    <w:rsid w:val="7C1F381E"/>
    <w:rsid w:val="7C936B22"/>
    <w:rsid w:val="7DD6391D"/>
    <w:rsid w:val="7E18767D"/>
    <w:rsid w:val="7E6457D9"/>
    <w:rsid w:val="7E650B9C"/>
    <w:rsid w:val="7E754A4B"/>
    <w:rsid w:val="7E8F066F"/>
    <w:rsid w:val="7E9F3B59"/>
    <w:rsid w:val="7EA46EA9"/>
    <w:rsid w:val="7F2A6B88"/>
    <w:rsid w:val="7F6629F6"/>
    <w:rsid w:val="7F6A670F"/>
    <w:rsid w:val="7FA25985"/>
    <w:rsid w:val="7FDD0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1"/>
    <w:qFormat/>
    <w:uiPriority w:val="0"/>
    <w:pPr>
      <w:jc w:val="left"/>
    </w:pPr>
  </w:style>
  <w:style w:type="paragraph" w:styleId="5">
    <w:name w:val="Body Text"/>
    <w:basedOn w:val="1"/>
    <w:next w:val="1"/>
    <w:unhideWhenUsed/>
    <w:qFormat/>
    <w:uiPriority w:val="0"/>
    <w:pPr>
      <w:spacing w:after="120"/>
    </w:pPr>
    <w:rPr>
      <w:rFonts w:eastAsia="仿宋_GB2312"/>
    </w:rPr>
  </w:style>
  <w:style w:type="paragraph" w:styleId="6">
    <w:name w:val="Plain Text"/>
    <w:basedOn w:val="1"/>
    <w:qFormat/>
    <w:uiPriority w:val="0"/>
    <w:rPr>
      <w:rFonts w:ascii="宋体" w:cs="Courier New"/>
      <w:szCs w:val="21"/>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annotation subject"/>
    <w:basedOn w:val="4"/>
    <w:next w:val="4"/>
    <w:link w:val="22"/>
    <w:qFormat/>
    <w:uiPriority w:val="0"/>
    <w:rPr>
      <w:b/>
      <w:bCs/>
    </w:rPr>
  </w:style>
  <w:style w:type="character" w:styleId="14">
    <w:name w:val="annotation reference"/>
    <w:basedOn w:val="13"/>
    <w:qFormat/>
    <w:uiPriority w:val="0"/>
    <w:rPr>
      <w:sz w:val="21"/>
      <w:szCs w:val="21"/>
    </w:rPr>
  </w:style>
  <w:style w:type="paragraph" w:styleId="15">
    <w:name w:val="List Paragraph"/>
    <w:basedOn w:val="1"/>
    <w:unhideWhenUsed/>
    <w:qFormat/>
    <w:uiPriority w:val="99"/>
    <w:pPr>
      <w:ind w:firstLine="420" w:firstLineChars="200"/>
    </w:pPr>
  </w:style>
  <w:style w:type="character" w:customStyle="1" w:styleId="16">
    <w:name w:val="font31"/>
    <w:basedOn w:val="13"/>
    <w:qFormat/>
    <w:uiPriority w:val="0"/>
    <w:rPr>
      <w:rFonts w:ascii="方正黑体简体" w:hAnsi="方正黑体简体" w:eastAsia="方正黑体简体" w:cs="方正黑体简体"/>
      <w:color w:val="000000"/>
      <w:sz w:val="24"/>
      <w:szCs w:val="24"/>
      <w:u w:val="none"/>
    </w:rPr>
  </w:style>
  <w:style w:type="character" w:customStyle="1" w:styleId="17">
    <w:name w:val="font21"/>
    <w:basedOn w:val="13"/>
    <w:qFormat/>
    <w:uiPriority w:val="0"/>
    <w:rPr>
      <w:rFonts w:ascii="方正仿宋简体" w:hAnsi="方正仿宋简体" w:eastAsia="方正仿宋简体" w:cs="方正仿宋简体"/>
      <w:color w:val="000000"/>
      <w:sz w:val="22"/>
      <w:szCs w:val="22"/>
      <w:u w:val="none"/>
    </w:rPr>
  </w:style>
  <w:style w:type="character" w:customStyle="1" w:styleId="18">
    <w:name w:val="font01"/>
    <w:basedOn w:val="13"/>
    <w:qFormat/>
    <w:uiPriority w:val="0"/>
    <w:rPr>
      <w:rFonts w:hint="default" w:ascii="Times New Roman" w:hAnsi="Times New Roman" w:cs="Times New Roman"/>
      <w:color w:val="000000"/>
      <w:sz w:val="22"/>
      <w:szCs w:val="22"/>
      <w:u w:val="none"/>
    </w:rPr>
  </w:style>
  <w:style w:type="character" w:customStyle="1" w:styleId="19">
    <w:name w:val="批注框文本 Char"/>
    <w:basedOn w:val="13"/>
    <w:link w:val="7"/>
    <w:qFormat/>
    <w:uiPriority w:val="0"/>
    <w:rPr>
      <w:kern w:val="2"/>
      <w:sz w:val="18"/>
      <w:szCs w:val="18"/>
    </w:rPr>
  </w:style>
  <w:style w:type="character" w:customStyle="1" w:styleId="20">
    <w:name w:val="页眉 Char"/>
    <w:basedOn w:val="13"/>
    <w:link w:val="9"/>
    <w:qFormat/>
    <w:uiPriority w:val="0"/>
    <w:rPr>
      <w:kern w:val="2"/>
      <w:sz w:val="18"/>
      <w:szCs w:val="18"/>
    </w:rPr>
  </w:style>
  <w:style w:type="character" w:customStyle="1" w:styleId="21">
    <w:name w:val="批注文字 Char"/>
    <w:basedOn w:val="13"/>
    <w:link w:val="4"/>
    <w:qFormat/>
    <w:uiPriority w:val="0"/>
    <w:rPr>
      <w:kern w:val="2"/>
      <w:sz w:val="21"/>
      <w:szCs w:val="24"/>
    </w:rPr>
  </w:style>
  <w:style w:type="character" w:customStyle="1" w:styleId="22">
    <w:name w:val="批注主题 Char"/>
    <w:basedOn w:val="21"/>
    <w:link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9.xml"/><Relationship Id="rId18" Type="http://schemas.openxmlformats.org/officeDocument/2006/relationships/chart" Target="charts/chart8.xml"/><Relationship Id="rId17" Type="http://schemas.openxmlformats.org/officeDocument/2006/relationships/image" Target="media/image3.emf"/><Relationship Id="rId16" Type="http://schemas.openxmlformats.org/officeDocument/2006/relationships/oleObject" Target="embeddings/oleObject3.bin"/><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2508;&#21512;\&#20844;&#25253;\&#36235;&#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2508;&#21512;\&#20844;&#25253;\&#36235;&#21183;&#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32508;&#21512;\&#20844;&#25253;\&#36235;&#21183;&#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32508;&#21512;\&#20844;&#25253;\&#36235;&#21183;&#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32508;&#21512;\&#20844;&#25253;\&#36235;&#21183;&#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32508;&#21512;\&#20844;&#25253;\&#36235;&#21183;&#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file:///F:\&#32508;&#21512;\&#20844;&#25253;\&#36235;&#21183;&#22270;.xlsx" TargetMode="External"/></Relationships>
</file>

<file path=word/charts/_rels/chart8.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F:\&#32508;&#21512;\&#20844;&#25253;\&#36235;&#21183;&#22270;.xlsx"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F:\&#32508;&#21512;\&#20844;&#25253;\&#36235;&#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solidFill>
                  <a:sysClr val="windowText" lastClr="000000"/>
                </a:solidFill>
                <a:latin typeface="Times New Roman" panose="02020603050405020304" charset="0"/>
                <a:ea typeface="方正黑体简体" panose="02010601030101010101" charset="-122"/>
                <a:cs typeface="Times New Roman" panose="02020603050405020304" charset="0"/>
              </a:rPr>
              <a:t>2020</a:t>
            </a:r>
            <a:r>
              <a:rPr altLang="en-US" sz="1200">
                <a:solidFill>
                  <a:sysClr val="windowText" lastClr="000000"/>
                </a:solidFill>
                <a:latin typeface="Times New Roman" panose="02020603050405020304" charset="0"/>
                <a:ea typeface="方正黑体简体" panose="02010601030101010101" charset="-122"/>
                <a:cs typeface="Times New Roman" panose="02020603050405020304" charset="0"/>
              </a:rPr>
              <a:t>年</a:t>
            </a:r>
            <a:r>
              <a:rPr lang="en-US" altLang="zh-CN" sz="1200">
                <a:solidFill>
                  <a:sysClr val="windowText" lastClr="000000"/>
                </a:solidFill>
                <a:latin typeface="Times New Roman" panose="02020603050405020304" charset="0"/>
                <a:ea typeface="方正黑体简体" panose="02010601030101010101" charset="-122"/>
                <a:cs typeface="Times New Roman" panose="02020603050405020304" charset="0"/>
              </a:rPr>
              <a:t>—2024</a:t>
            </a:r>
            <a:r>
              <a:rPr altLang="en-US" sz="1200">
                <a:solidFill>
                  <a:sysClr val="windowText" lastClr="000000"/>
                </a:solidFill>
                <a:latin typeface="Times New Roman" panose="02020603050405020304" charset="0"/>
                <a:ea typeface="方正黑体简体" panose="02010601030101010101" charset="-122"/>
                <a:cs typeface="Times New Roman" panose="02020603050405020304" charset="0"/>
              </a:rPr>
              <a:t>年全县生产总值（</a:t>
            </a:r>
            <a:r>
              <a:rPr lang="en-US" altLang="zh-CN" sz="1200">
                <a:solidFill>
                  <a:sysClr val="windowText" lastClr="000000"/>
                </a:solidFill>
                <a:latin typeface="Times New Roman" panose="02020603050405020304" charset="0"/>
                <a:ea typeface="方正黑体简体" panose="02010601030101010101" charset="-122"/>
                <a:cs typeface="Times New Roman" panose="02020603050405020304" charset="0"/>
              </a:rPr>
              <a:t>GDP</a:t>
            </a:r>
            <a:r>
              <a:rPr altLang="en-US" sz="1200">
                <a:solidFill>
                  <a:sysClr val="windowText" lastClr="000000"/>
                </a:solidFill>
                <a:latin typeface="Times New Roman" panose="02020603050405020304" charset="0"/>
                <a:ea typeface="方正黑体简体" panose="02010601030101010101" charset="-122"/>
                <a:cs typeface="Times New Roman" panose="02020603050405020304" charset="0"/>
              </a:rPr>
              <a:t>）及增速</a:t>
            </a:r>
            <a:endParaRPr altLang="en-US" sz="1200">
              <a:solidFill>
                <a:sysClr val="windowText" lastClr="000000"/>
              </a:solidFill>
              <a:latin typeface="Times New Roman" panose="02020603050405020304" charset="0"/>
              <a:ea typeface="方正黑体简体" panose="02010601030101010101" charset="-122"/>
              <a:cs typeface="Times New Roman" panose="02020603050405020304" charset="0"/>
            </a:endParaRPr>
          </a:p>
        </c:rich>
      </c:tx>
      <c:layout>
        <c:manualLayout>
          <c:xMode val="edge"/>
          <c:yMode val="edge"/>
          <c:x val="0.156597222222222"/>
          <c:y val="0.03125"/>
        </c:manualLayout>
      </c:layout>
      <c:overlay val="0"/>
      <c:spPr>
        <a:noFill/>
        <a:ln>
          <a:noFill/>
        </a:ln>
        <a:effectLst/>
      </c:spPr>
    </c:title>
    <c:autoTitleDeleted val="0"/>
    <c:plotArea>
      <c:layout/>
      <c:barChart>
        <c:barDir val="col"/>
        <c:grouping val="clustered"/>
        <c:varyColors val="0"/>
        <c:ser>
          <c:idx val="0"/>
          <c:order val="0"/>
          <c:tx>
            <c:strRef>
              <c:f>[趋势图.xlsx]Sheet1!$A$2</c:f>
              <c:strCache>
                <c:ptCount val="1"/>
                <c:pt idx="0">
                  <c:v>总量（亿元）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[趋势图.xlsx]Sheet1!$B$1:$F$1</c:f>
              <c:strCache>
                <c:ptCount val="5"/>
                <c:pt idx="0">
                  <c:v>2020年</c:v>
                </c:pt>
                <c:pt idx="1">
                  <c:v>2021年</c:v>
                </c:pt>
                <c:pt idx="2">
                  <c:v>2022年</c:v>
                </c:pt>
                <c:pt idx="3">
                  <c:v>2023年</c:v>
                </c:pt>
                <c:pt idx="4">
                  <c:v>2024年</c:v>
                </c:pt>
              </c:strCache>
            </c:strRef>
          </c:cat>
          <c:val>
            <c:numRef>
              <c:f>[趋势图.xlsx]Sheet1!$B$2:$F$2</c:f>
              <c:numCache>
                <c:formatCode>General</c:formatCode>
                <c:ptCount val="5"/>
                <c:pt idx="0">
                  <c:v>74.17</c:v>
                </c:pt>
                <c:pt idx="1">
                  <c:v>84.26</c:v>
                </c:pt>
                <c:pt idx="2">
                  <c:v>90.36</c:v>
                </c:pt>
                <c:pt idx="3">
                  <c:v>101.79</c:v>
                </c:pt>
                <c:pt idx="4">
                  <c:v>108.68</c:v>
                </c:pt>
              </c:numCache>
            </c:numRef>
          </c:val>
        </c:ser>
        <c:dLbls>
          <c:showLegendKey val="0"/>
          <c:showVal val="1"/>
          <c:showCatName val="0"/>
          <c:showSerName val="0"/>
          <c:showPercent val="0"/>
          <c:showBubbleSize val="0"/>
        </c:dLbls>
        <c:gapWidth val="150"/>
        <c:overlap val="0"/>
        <c:axId val="315764047"/>
        <c:axId val="914281642"/>
      </c:barChart>
      <c:lineChart>
        <c:grouping val="standard"/>
        <c:varyColors val="0"/>
        <c:ser>
          <c:idx val="1"/>
          <c:order val="1"/>
          <c:tx>
            <c:strRef>
              <c:f>[趋势图.xlsx]Sheet1!$A$3</c:f>
              <c:strCache>
                <c:ptCount val="1"/>
                <c:pt idx="0">
                  <c:v>增速（%）</c:v>
                </c:pt>
              </c:strCache>
            </c:strRef>
          </c:tx>
          <c:spPr>
            <a:ln w="28575" cap="rnd">
              <a:solidFill>
                <a:schemeClr val="accent2"/>
              </a:solidFill>
              <a:round/>
            </a:ln>
            <a:effectLst/>
          </c:spPr>
          <c:marker>
            <c:symbol val="none"/>
          </c:marker>
          <c:dLbls>
            <c:dLbl>
              <c:idx val="0"/>
              <c:layout>
                <c:manualLayout>
                  <c:x val="-0.05"/>
                  <c:y val="0.1319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
                  <c:y val="0.038194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83333333333333"/>
                  <c:y val="0.079861111111111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520833333333333"/>
                  <c:y val="0.04166666666666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41666666666667"/>
                  <c:y val="0.10069444444444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[趋势图.xlsx]Sheet1!$B$1:$F$1</c:f>
              <c:strCache>
                <c:ptCount val="5"/>
                <c:pt idx="0">
                  <c:v>2020年</c:v>
                </c:pt>
                <c:pt idx="1">
                  <c:v>2021年</c:v>
                </c:pt>
                <c:pt idx="2">
                  <c:v>2022年</c:v>
                </c:pt>
                <c:pt idx="3">
                  <c:v>2023年</c:v>
                </c:pt>
                <c:pt idx="4">
                  <c:v>2024年</c:v>
                </c:pt>
              </c:strCache>
            </c:strRef>
          </c:cat>
          <c:val>
            <c:numRef>
              <c:f>[趋势图.xlsx]Sheet1!$B$3:$F$3</c:f>
              <c:numCache>
                <c:formatCode>General</c:formatCode>
                <c:ptCount val="5"/>
                <c:pt idx="0">
                  <c:v>3.8</c:v>
                </c:pt>
                <c:pt idx="1">
                  <c:v>6.1</c:v>
                </c:pt>
                <c:pt idx="2">
                  <c:v>3.5</c:v>
                </c:pt>
                <c:pt idx="3">
                  <c:v>7.5</c:v>
                </c:pt>
                <c:pt idx="4">
                  <c:v>7</c:v>
                </c:pt>
              </c:numCache>
            </c:numRef>
          </c:val>
          <c:smooth val="0"/>
        </c:ser>
        <c:dLbls>
          <c:showLegendKey val="0"/>
          <c:showVal val="1"/>
          <c:showCatName val="0"/>
          <c:showSerName val="0"/>
          <c:showPercent val="0"/>
          <c:showBubbleSize val="0"/>
        </c:dLbls>
        <c:marker val="0"/>
        <c:smooth val="0"/>
        <c:axId val="954679723"/>
        <c:axId val="674736019"/>
      </c:lineChart>
      <c:catAx>
        <c:axId val="31576404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14281642"/>
        <c:crosses val="autoZero"/>
        <c:auto val="1"/>
        <c:lblAlgn val="ctr"/>
        <c:lblOffset val="100"/>
        <c:noMultiLvlLbl val="0"/>
      </c:catAx>
      <c:valAx>
        <c:axId val="91428164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0"/>
        <c:majorTickMark val="cross"/>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5764047"/>
        <c:crosses val="autoZero"/>
        <c:crossBetween val="between"/>
      </c:valAx>
      <c:catAx>
        <c:axId val="95467972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74736019"/>
        <c:crossesAt val="0"/>
        <c:auto val="1"/>
        <c:lblAlgn val="ctr"/>
        <c:lblOffset val="100"/>
        <c:noMultiLvlLbl val="0"/>
      </c:catAx>
      <c:valAx>
        <c:axId val="674736019"/>
        <c:scaling>
          <c:orientation val="minMax"/>
        </c:scaling>
        <c:delete val="0"/>
        <c:axPos val="r"/>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4679723"/>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vert="wordArtVertRtl"/>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100">
                <a:solidFill>
                  <a:sysClr val="windowText" lastClr="000000"/>
                </a:solidFill>
                <a:latin typeface="Times New Roman" panose="02020603050405020304" charset="0"/>
                <a:ea typeface="方正黑体简体" panose="02010601030101010101" charset="-122"/>
                <a:cs typeface="Times New Roman" panose="02020603050405020304" charset="0"/>
              </a:rPr>
              <a:t>2020</a:t>
            </a:r>
            <a:r>
              <a:rPr altLang="en-US" sz="1100">
                <a:solidFill>
                  <a:sysClr val="windowText" lastClr="000000"/>
                </a:solidFill>
                <a:latin typeface="Times New Roman" panose="02020603050405020304" charset="0"/>
                <a:ea typeface="方正黑体简体" panose="02010601030101010101" charset="-122"/>
                <a:cs typeface="Times New Roman" panose="02020603050405020304" charset="0"/>
              </a:rPr>
              <a:t>年</a:t>
            </a:r>
            <a:r>
              <a:rPr lang="en-US" altLang="zh-CN" sz="1100">
                <a:solidFill>
                  <a:sysClr val="windowText" lastClr="000000"/>
                </a:solidFill>
                <a:latin typeface="Times New Roman" panose="02020603050405020304" charset="0"/>
                <a:ea typeface="方正黑体简体" panose="02010601030101010101" charset="-122"/>
                <a:cs typeface="Times New Roman" panose="02020603050405020304" charset="0"/>
              </a:rPr>
              <a:t>-2024</a:t>
            </a:r>
            <a:r>
              <a:rPr altLang="en-US" sz="1100">
                <a:solidFill>
                  <a:sysClr val="windowText" lastClr="000000"/>
                </a:solidFill>
                <a:latin typeface="Times New Roman" panose="02020603050405020304" charset="0"/>
                <a:ea typeface="方正黑体简体" panose="02010601030101010101" charset="-122"/>
                <a:cs typeface="Times New Roman" panose="02020603050405020304" charset="0"/>
              </a:rPr>
              <a:t>年全县三次产业增加值占地区生产总值比重</a:t>
            </a:r>
            <a:endParaRPr altLang="en-US" sz="1100">
              <a:solidFill>
                <a:sysClr val="windowText" lastClr="000000"/>
              </a:solidFill>
              <a:latin typeface="Times New Roman" panose="02020603050405020304" charset="0"/>
              <a:ea typeface="方正黑体简体" panose="02010601030101010101" charset="-122"/>
              <a:cs typeface="Times New Roman" panose="02020603050405020304" charset="0"/>
            </a:endParaRPr>
          </a:p>
        </c:rich>
      </c:tx>
      <c:layout/>
      <c:overlay val="0"/>
      <c:spPr>
        <a:noFill/>
        <a:ln>
          <a:noFill/>
        </a:ln>
        <a:effectLst/>
      </c:spPr>
    </c:title>
    <c:autoTitleDeleted val="0"/>
    <c:plotArea>
      <c:layout/>
      <c:barChart>
        <c:barDir val="col"/>
        <c:grouping val="percentStacked"/>
        <c:varyColors val="0"/>
        <c:ser>
          <c:idx val="0"/>
          <c:order val="0"/>
          <c:tx>
            <c:strRef>
              <c:f>[趋势图.xlsx]Sheet1!$A$34</c:f>
              <c:strCache>
                <c:ptCount val="1"/>
                <c:pt idx="0">
                  <c:v>第一产业</c:v>
                </c:pt>
              </c:strCache>
            </c:strRef>
          </c:tx>
          <c:spPr>
            <a:solidFill>
              <a:schemeClr val="accent1"/>
            </a:solidFill>
            <a:ln>
              <a:noFill/>
            </a:ln>
            <a:effectLst/>
          </c:spPr>
          <c:invertIfNegative val="0"/>
          <c:dLbls>
            <c:delete val="1"/>
          </c:dLbls>
          <c:cat>
            <c:strRef>
              <c:f>[趋势图.xlsx]Sheet1!$B$33:$F$33</c:f>
              <c:strCache>
                <c:ptCount val="5"/>
                <c:pt idx="0">
                  <c:v>2020年</c:v>
                </c:pt>
                <c:pt idx="1">
                  <c:v>2021年</c:v>
                </c:pt>
                <c:pt idx="2">
                  <c:v>2022年</c:v>
                </c:pt>
                <c:pt idx="3">
                  <c:v>2023年</c:v>
                </c:pt>
                <c:pt idx="4">
                  <c:v>2024年</c:v>
                </c:pt>
              </c:strCache>
            </c:strRef>
          </c:cat>
          <c:val>
            <c:numRef>
              <c:f>[趋势图.xlsx]Sheet1!$B$34:$F$34</c:f>
              <c:numCache>
                <c:formatCode>0.00_ </c:formatCode>
                <c:ptCount val="5"/>
                <c:pt idx="0">
                  <c:v>37.2927059458002</c:v>
                </c:pt>
                <c:pt idx="1">
                  <c:v>39.283171136957</c:v>
                </c:pt>
                <c:pt idx="2">
                  <c:v>40.9915891987605</c:v>
                </c:pt>
                <c:pt idx="3">
                  <c:v>41.8213969938108</c:v>
                </c:pt>
                <c:pt idx="4">
                  <c:v>38.2591093117409</c:v>
                </c:pt>
              </c:numCache>
            </c:numRef>
          </c:val>
        </c:ser>
        <c:ser>
          <c:idx val="1"/>
          <c:order val="1"/>
          <c:tx>
            <c:strRef>
              <c:f>[趋势图.xlsx]Sheet1!$A$35</c:f>
              <c:strCache>
                <c:ptCount val="1"/>
                <c:pt idx="0">
                  <c:v>第二产业</c:v>
                </c:pt>
              </c:strCache>
            </c:strRef>
          </c:tx>
          <c:spPr>
            <a:solidFill>
              <a:schemeClr val="accent2"/>
            </a:solidFill>
            <a:ln>
              <a:noFill/>
            </a:ln>
            <a:effectLst/>
          </c:spPr>
          <c:invertIfNegative val="0"/>
          <c:dLbls>
            <c:delete val="1"/>
          </c:dLbls>
          <c:cat>
            <c:strRef>
              <c:f>[趋势图.xlsx]Sheet1!$B$33:$F$33</c:f>
              <c:strCache>
                <c:ptCount val="5"/>
                <c:pt idx="0">
                  <c:v>2020年</c:v>
                </c:pt>
                <c:pt idx="1">
                  <c:v>2021年</c:v>
                </c:pt>
                <c:pt idx="2">
                  <c:v>2022年</c:v>
                </c:pt>
                <c:pt idx="3">
                  <c:v>2023年</c:v>
                </c:pt>
                <c:pt idx="4">
                  <c:v>2024年</c:v>
                </c:pt>
              </c:strCache>
            </c:strRef>
          </c:cat>
          <c:val>
            <c:numRef>
              <c:f>[趋势图.xlsx]Sheet1!$B$35:$F$35</c:f>
              <c:numCache>
                <c:formatCode>0.00_ </c:formatCode>
                <c:ptCount val="5"/>
                <c:pt idx="0">
                  <c:v>15.1408925441553</c:v>
                </c:pt>
                <c:pt idx="1">
                  <c:v>17.8495134108711</c:v>
                </c:pt>
                <c:pt idx="2">
                  <c:v>17.0982735723772</c:v>
                </c:pt>
                <c:pt idx="3">
                  <c:v>17.0055997642205</c:v>
                </c:pt>
                <c:pt idx="4">
                  <c:v>18.1358115568642</c:v>
                </c:pt>
              </c:numCache>
            </c:numRef>
          </c:val>
        </c:ser>
        <c:ser>
          <c:idx val="2"/>
          <c:order val="2"/>
          <c:tx>
            <c:strRef>
              <c:f>[趋势图.xlsx]Sheet1!$A$36</c:f>
              <c:strCache>
                <c:ptCount val="1"/>
                <c:pt idx="0">
                  <c:v>第三产业</c:v>
                </c:pt>
              </c:strCache>
            </c:strRef>
          </c:tx>
          <c:spPr>
            <a:solidFill>
              <a:schemeClr val="accent3"/>
            </a:solidFill>
            <a:ln>
              <a:noFill/>
            </a:ln>
            <a:effectLst/>
          </c:spPr>
          <c:invertIfNegative val="0"/>
          <c:dLbls>
            <c:delete val="1"/>
          </c:dLbls>
          <c:cat>
            <c:strRef>
              <c:f>[趋势图.xlsx]Sheet1!$B$33:$F$33</c:f>
              <c:strCache>
                <c:ptCount val="5"/>
                <c:pt idx="0">
                  <c:v>2020年</c:v>
                </c:pt>
                <c:pt idx="1">
                  <c:v>2021年</c:v>
                </c:pt>
                <c:pt idx="2">
                  <c:v>2022年</c:v>
                </c:pt>
                <c:pt idx="3">
                  <c:v>2023年</c:v>
                </c:pt>
                <c:pt idx="4">
                  <c:v>2024年</c:v>
                </c:pt>
              </c:strCache>
            </c:strRef>
          </c:cat>
          <c:val>
            <c:numRef>
              <c:f>[趋势图.xlsx]Sheet1!$B$36:$F$36</c:f>
              <c:numCache>
                <c:formatCode>0.00_ </c:formatCode>
                <c:ptCount val="5"/>
                <c:pt idx="0">
                  <c:v>47.579884050155</c:v>
                </c:pt>
                <c:pt idx="1">
                  <c:v>42.8791834797057</c:v>
                </c:pt>
                <c:pt idx="2">
                  <c:v>41.9101372288623</c:v>
                </c:pt>
                <c:pt idx="3">
                  <c:v>41.1631790942136</c:v>
                </c:pt>
                <c:pt idx="4">
                  <c:v>43.6050791313949</c:v>
                </c:pt>
              </c:numCache>
            </c:numRef>
          </c:val>
        </c:ser>
        <c:dLbls>
          <c:showLegendKey val="0"/>
          <c:showVal val="0"/>
          <c:showCatName val="0"/>
          <c:showSerName val="0"/>
          <c:showPercent val="0"/>
          <c:showBubbleSize val="0"/>
        </c:dLbls>
        <c:gapWidth val="150"/>
        <c:overlap val="100"/>
        <c:axId val="373741468"/>
        <c:axId val="279286660"/>
      </c:barChart>
      <c:catAx>
        <c:axId val="37374146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79286660"/>
        <c:crosses val="autoZero"/>
        <c:auto val="1"/>
        <c:lblAlgn val="ctr"/>
        <c:lblOffset val="100"/>
        <c:noMultiLvlLbl val="0"/>
      </c:catAx>
      <c:valAx>
        <c:axId val="2792866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37414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solidFill>
                  <a:sysClr val="windowText" lastClr="000000"/>
                </a:solidFill>
                <a:latin typeface="方正黑体简体" panose="02010601030101010101" charset="-122"/>
                <a:ea typeface="方正黑体简体" panose="02010601030101010101" charset="-122"/>
                <a:cs typeface="方正黑体简体" panose="02010601030101010101" charset="-122"/>
              </a:rPr>
              <a:t>2020</a:t>
            </a:r>
            <a:r>
              <a:rPr altLang="en-US" sz="1200">
                <a:solidFill>
                  <a:sysClr val="windowText" lastClr="000000"/>
                </a:solidFill>
                <a:latin typeface="方正黑体简体" panose="02010601030101010101" charset="-122"/>
                <a:ea typeface="方正黑体简体" panose="02010601030101010101" charset="-122"/>
                <a:cs typeface="方正黑体简体" panose="02010601030101010101" charset="-122"/>
              </a:rPr>
              <a:t>年</a:t>
            </a:r>
            <a:r>
              <a:rPr lang="en-US" altLang="zh-CN" sz="1200">
                <a:solidFill>
                  <a:sysClr val="windowText" lastClr="000000"/>
                </a:solidFill>
                <a:latin typeface="方正黑体简体" panose="02010601030101010101" charset="-122"/>
                <a:ea typeface="方正黑体简体" panose="02010601030101010101" charset="-122"/>
                <a:cs typeface="方正黑体简体" panose="02010601030101010101" charset="-122"/>
              </a:rPr>
              <a:t>—2024</a:t>
            </a:r>
            <a:r>
              <a:rPr altLang="en-US" sz="1200">
                <a:solidFill>
                  <a:sysClr val="windowText" lastClr="000000"/>
                </a:solidFill>
                <a:latin typeface="方正黑体简体" panose="02010601030101010101" charset="-122"/>
                <a:ea typeface="方正黑体简体" panose="02010601030101010101" charset="-122"/>
                <a:cs typeface="方正黑体简体" panose="02010601030101010101" charset="-122"/>
              </a:rPr>
              <a:t>年全县粮食产量（万吨）</a:t>
            </a:r>
            <a:endParaRPr altLang="en-US" sz="1200">
              <a:solidFill>
                <a:sysClr val="windowText" lastClr="000000"/>
              </a:solidFill>
              <a:latin typeface="方正黑体简体" panose="02010601030101010101" charset="-122"/>
              <a:ea typeface="方正黑体简体" panose="02010601030101010101" charset="-122"/>
              <a:cs typeface="方正黑体简体" panose="02010601030101010101" charset="-122"/>
            </a:endParaRPr>
          </a:p>
        </c:rich>
      </c:tx>
      <c:layout/>
      <c:overlay val="0"/>
      <c:spPr>
        <a:noFill/>
        <a:ln>
          <a:noFill/>
        </a:ln>
        <a:effectLst/>
      </c:spPr>
    </c:title>
    <c:autoTitleDeleted val="0"/>
    <c:plotArea>
      <c:layout/>
      <c:barChart>
        <c:barDir val="col"/>
        <c:grouping val="clustered"/>
        <c:varyColors val="0"/>
        <c:ser>
          <c:idx val="0"/>
          <c:order val="0"/>
          <c:tx>
            <c:strRef>
              <c:f>[趋势图.xlsx]Sheet1!$A$56</c:f>
              <c:strCache>
                <c:ptCount val="1"/>
                <c:pt idx="0">
                  <c:v>总量</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[趋势图.xlsx]Sheet1!$B$55:$F$55</c:f>
              <c:strCache>
                <c:ptCount val="5"/>
                <c:pt idx="0">
                  <c:v>2020年</c:v>
                </c:pt>
                <c:pt idx="1">
                  <c:v>2021年</c:v>
                </c:pt>
                <c:pt idx="2">
                  <c:v>2022年</c:v>
                </c:pt>
                <c:pt idx="3">
                  <c:v>2023年</c:v>
                </c:pt>
                <c:pt idx="4">
                  <c:v>2024年</c:v>
                </c:pt>
              </c:strCache>
            </c:strRef>
          </c:cat>
          <c:val>
            <c:numRef>
              <c:f>[趋势图.xlsx]Sheet1!$B$56:$F$56</c:f>
              <c:numCache>
                <c:formatCode>General</c:formatCode>
                <c:ptCount val="5"/>
                <c:pt idx="0">
                  <c:v>23.68</c:v>
                </c:pt>
                <c:pt idx="1">
                  <c:v>25.24</c:v>
                </c:pt>
                <c:pt idx="2">
                  <c:v>30.66</c:v>
                </c:pt>
                <c:pt idx="3">
                  <c:v>35.2</c:v>
                </c:pt>
                <c:pt idx="4">
                  <c:v>37.4</c:v>
                </c:pt>
              </c:numCache>
            </c:numRef>
          </c:val>
        </c:ser>
        <c:dLbls>
          <c:showLegendKey val="0"/>
          <c:showVal val="1"/>
          <c:showCatName val="0"/>
          <c:showSerName val="0"/>
          <c:showPercent val="0"/>
          <c:showBubbleSize val="0"/>
        </c:dLbls>
        <c:gapWidth val="219"/>
        <c:overlap val="-27"/>
        <c:axId val="183428171"/>
        <c:axId val="959718806"/>
      </c:barChart>
      <c:catAx>
        <c:axId val="1834281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9718806"/>
        <c:crosses val="autoZero"/>
        <c:auto val="1"/>
        <c:lblAlgn val="ctr"/>
        <c:lblOffset val="100"/>
        <c:noMultiLvlLbl val="0"/>
      </c:catAx>
      <c:valAx>
        <c:axId val="9597188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8342817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latin typeface="Times New Roman" panose="02020603050405020304" charset="0"/>
                <a:ea typeface="方正黑体简体" panose="02010601030101010101" charset="-122"/>
                <a:cs typeface="Times New Roman" panose="02020603050405020304" charset="0"/>
              </a:rPr>
              <a:t>2020</a:t>
            </a:r>
            <a:r>
              <a:rPr altLang="en-US" b="1">
                <a:latin typeface="Times New Roman" panose="02020603050405020304" charset="0"/>
                <a:ea typeface="方正黑体简体" panose="02010601030101010101" charset="-122"/>
                <a:cs typeface="Times New Roman" panose="02020603050405020304" charset="0"/>
              </a:rPr>
              <a:t>年</a:t>
            </a:r>
            <a:r>
              <a:rPr lang="en-US" altLang="zh-CN" b="1">
                <a:latin typeface="Times New Roman" panose="02020603050405020304" charset="0"/>
                <a:ea typeface="方正黑体简体" panose="02010601030101010101" charset="-122"/>
                <a:cs typeface="Times New Roman" panose="02020603050405020304" charset="0"/>
              </a:rPr>
              <a:t>—2024</a:t>
            </a:r>
            <a:r>
              <a:rPr altLang="en-US" b="1">
                <a:latin typeface="Times New Roman" panose="02020603050405020304" charset="0"/>
                <a:ea typeface="方正黑体简体" panose="02010601030101010101" charset="-122"/>
                <a:cs typeface="Times New Roman" panose="02020603050405020304" charset="0"/>
              </a:rPr>
              <a:t>年全县工业增加值及其增速</a:t>
            </a:r>
            <a:endParaRPr altLang="en-US" b="1">
              <a:latin typeface="Times New Roman" panose="02020603050405020304" charset="0"/>
              <a:ea typeface="方正黑体简体" panose="02010601030101010101" charset="-122"/>
              <a:cs typeface="Times New Roman" panose="02020603050405020304" charset="0"/>
            </a:endParaRPr>
          </a:p>
        </c:rich>
      </c:tx>
      <c:layout>
        <c:manualLayout>
          <c:xMode val="edge"/>
          <c:yMode val="edge"/>
          <c:x val="0.154027777777778"/>
          <c:y val="0.0590277777777778"/>
        </c:manualLayout>
      </c:layout>
      <c:overlay val="0"/>
      <c:spPr>
        <a:noFill/>
        <a:ln>
          <a:noFill/>
        </a:ln>
        <a:effectLst/>
      </c:spPr>
    </c:title>
    <c:autoTitleDeleted val="0"/>
    <c:plotArea>
      <c:layout/>
      <c:barChart>
        <c:barDir val="col"/>
        <c:grouping val="clustered"/>
        <c:varyColors val="0"/>
        <c:ser>
          <c:idx val="0"/>
          <c:order val="0"/>
          <c:tx>
            <c:strRef>
              <c:f>[趋势图.xlsx]Sheet1!$A$18</c:f>
              <c:strCache>
                <c:ptCount val="1"/>
                <c:pt idx="0">
                  <c:v>总量（亿元）</c:v>
                </c:pt>
              </c:strCache>
            </c:strRef>
          </c:tx>
          <c:spPr>
            <a:solidFill>
              <a:schemeClr val="accent1"/>
            </a:solidFill>
            <a:ln>
              <a:noFill/>
            </a:ln>
            <a:effectLst/>
          </c:spPr>
          <c:invertIfNegative val="0"/>
          <c:dLbls>
            <c:dLbl>
              <c:idx val="4"/>
              <c:layout>
                <c:manualLayout>
                  <c:x val="-0.00208333333333333"/>
                  <c:y val="0.015926948396687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[趋势图.xlsx]Sheet1!$B$17:$F$17</c:f>
              <c:strCache>
                <c:ptCount val="5"/>
                <c:pt idx="0">
                  <c:v>2020年</c:v>
                </c:pt>
                <c:pt idx="1">
                  <c:v>2021年</c:v>
                </c:pt>
                <c:pt idx="2">
                  <c:v>2022年</c:v>
                </c:pt>
                <c:pt idx="3">
                  <c:v>2023年</c:v>
                </c:pt>
                <c:pt idx="4">
                  <c:v>2024年</c:v>
                </c:pt>
              </c:strCache>
            </c:strRef>
          </c:cat>
          <c:val>
            <c:numRef>
              <c:f>[趋势图.xlsx]Sheet1!$B$18:$F$18</c:f>
              <c:numCache>
                <c:formatCode>General</c:formatCode>
                <c:ptCount val="5"/>
                <c:pt idx="0">
                  <c:v>5.39</c:v>
                </c:pt>
                <c:pt idx="1">
                  <c:v>7.55</c:v>
                </c:pt>
                <c:pt idx="2">
                  <c:v>7.38</c:v>
                </c:pt>
                <c:pt idx="3">
                  <c:v>9.67</c:v>
                </c:pt>
                <c:pt idx="4">
                  <c:v>13.2</c:v>
                </c:pt>
              </c:numCache>
            </c:numRef>
          </c:val>
        </c:ser>
        <c:dLbls>
          <c:showLegendKey val="0"/>
          <c:showVal val="1"/>
          <c:showCatName val="0"/>
          <c:showSerName val="0"/>
          <c:showPercent val="0"/>
          <c:showBubbleSize val="0"/>
        </c:dLbls>
        <c:gapWidth val="150"/>
        <c:overlap val="0"/>
        <c:axId val="385202861"/>
        <c:axId val="414301492"/>
      </c:barChart>
      <c:lineChart>
        <c:grouping val="standard"/>
        <c:varyColors val="0"/>
        <c:ser>
          <c:idx val="1"/>
          <c:order val="1"/>
          <c:tx>
            <c:strRef>
              <c:f>[趋势图.xlsx]Sheet1!$A$19</c:f>
              <c:strCache>
                <c:ptCount val="1"/>
                <c:pt idx="0">
                  <c:v>增速（%）</c:v>
                </c:pt>
              </c:strCache>
            </c:strRef>
          </c:tx>
          <c:spPr>
            <a:ln w="28575" cap="rnd">
              <a:solidFill>
                <a:schemeClr val="accent2"/>
              </a:solidFill>
              <a:round/>
            </a:ln>
            <a:effectLst/>
          </c:spPr>
          <c:marker>
            <c:symbol val="none"/>
          </c:marker>
          <c:dLbls>
            <c:dLbl>
              <c:idx val="4"/>
              <c:layout>
                <c:manualLayout>
                  <c:x val="-0.0270833333333333"/>
                  <c:y val="0.066893183266086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[趋势图.xlsx]Sheet1!$B$17:$F$17</c:f>
              <c:strCache>
                <c:ptCount val="5"/>
                <c:pt idx="0">
                  <c:v>2020年</c:v>
                </c:pt>
                <c:pt idx="1">
                  <c:v>2021年</c:v>
                </c:pt>
                <c:pt idx="2">
                  <c:v>2022年</c:v>
                </c:pt>
                <c:pt idx="3">
                  <c:v>2023年</c:v>
                </c:pt>
                <c:pt idx="4">
                  <c:v>2024年</c:v>
                </c:pt>
              </c:strCache>
            </c:strRef>
          </c:cat>
          <c:val>
            <c:numRef>
              <c:f>[趋势图.xlsx]Sheet1!$B$19:$F$19</c:f>
              <c:numCache>
                <c:formatCode>0%</c:formatCode>
                <c:ptCount val="5"/>
                <c:pt idx="0">
                  <c:v>0.01</c:v>
                </c:pt>
                <c:pt idx="1" c:formatCode="0.00%">
                  <c:v>0.107</c:v>
                </c:pt>
                <c:pt idx="2" c:formatCode="0.00%">
                  <c:v>-0.086</c:v>
                </c:pt>
                <c:pt idx="3" c:formatCode="0.00%">
                  <c:v>0.354</c:v>
                </c:pt>
                <c:pt idx="4" c:formatCode="0.00%">
                  <c:v>0.056</c:v>
                </c:pt>
              </c:numCache>
            </c:numRef>
          </c:val>
          <c:smooth val="0"/>
        </c:ser>
        <c:dLbls>
          <c:showLegendKey val="0"/>
          <c:showVal val="1"/>
          <c:showCatName val="0"/>
          <c:showSerName val="0"/>
          <c:showPercent val="0"/>
          <c:showBubbleSize val="0"/>
        </c:dLbls>
        <c:marker val="0"/>
        <c:smooth val="0"/>
        <c:axId val="993590513"/>
        <c:axId val="658505227"/>
      </c:lineChart>
      <c:catAx>
        <c:axId val="3852028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4301492"/>
        <c:crosses val="autoZero"/>
        <c:auto val="1"/>
        <c:lblAlgn val="ctr"/>
        <c:lblOffset val="100"/>
        <c:noMultiLvlLbl val="0"/>
      </c:catAx>
      <c:valAx>
        <c:axId val="4143014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202861"/>
        <c:crosses val="autoZero"/>
        <c:crossBetween val="between"/>
      </c:valAx>
      <c:catAx>
        <c:axId val="993590513"/>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8505227"/>
        <c:crosses val="autoZero"/>
        <c:auto val="1"/>
        <c:lblAlgn val="ctr"/>
        <c:lblOffset val="100"/>
        <c:noMultiLvlLbl val="0"/>
      </c:catAx>
      <c:valAx>
        <c:axId val="658505227"/>
        <c:scaling>
          <c:orientation val="minMax"/>
        </c:scaling>
        <c:delete val="0"/>
        <c:axPos val="r"/>
        <c:numFmt formatCode="0%"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3590513"/>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200" b="1">
                <a:latin typeface="方正黑体简体" panose="02010601030101010101" charset="-122"/>
                <a:ea typeface="方正黑体简体" panose="02010601030101010101" charset="-122"/>
                <a:cs typeface="方正黑体简体" panose="02010601030101010101" charset="-122"/>
              </a:rPr>
              <a:t>2024年规模以上工业主要行业增加值比</a:t>
            </a:r>
            <a:r>
              <a:rPr sz="1200" b="1">
                <a:latin typeface="方正黑体简体" panose="02010601030101010101" charset="-122"/>
                <a:ea typeface="方正黑体简体" panose="02010601030101010101" charset="-122"/>
              </a:rPr>
              <a:t>重</a:t>
            </a:r>
            <a:endParaRPr sz="1200" b="1"/>
          </a:p>
          <a:p>
            <a:pPr defTabSz="914400">
              <a:defRPr lang="zh-CN" sz="1400" b="0" i="0" u="none" strike="noStrike" kern="1200" spc="0" baseline="0">
                <a:solidFill>
                  <a:schemeClr val="tx1">
                    <a:lumMod val="65000"/>
                    <a:lumOff val="35000"/>
                  </a:schemeClr>
                </a:solidFill>
                <a:latin typeface="+mn-lt"/>
                <a:ea typeface="+mn-ea"/>
                <a:cs typeface="+mn-cs"/>
              </a:defRPr>
            </a:pPr>
            <a:endParaRPr sz="1200" b="1"/>
          </a:p>
        </c:rich>
      </c:tx>
      <c:layout>
        <c:manualLayout>
          <c:xMode val="edge"/>
          <c:yMode val="edge"/>
          <c:x val="0.232638888888889"/>
          <c:y val="0.03125"/>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Pt>
            <c:idx val="3"/>
            <c:bubble3D val="0"/>
            <c:spPr>
              <a:solidFill>
                <a:schemeClr val="accent4"/>
              </a:solidFill>
              <a:ln w="25400">
                <a:solidFill>
                  <a:schemeClr val="lt1"/>
                </a:solidFill>
              </a:ln>
              <a:effectLst/>
              <a:scene3d>
                <a:camera prst="orthographicFront"/>
                <a:lightRig rig="threePt" dir="t"/>
              </a:scene3d>
              <a:sp3d contourW="25400"/>
            </c:spPr>
          </c:dPt>
          <c:dPt>
            <c:idx val="4"/>
            <c:bubble3D val="0"/>
            <c:spPr>
              <a:solidFill>
                <a:schemeClr val="accent5"/>
              </a:solidFill>
              <a:ln w="25400">
                <a:solidFill>
                  <a:schemeClr val="lt1"/>
                </a:solidFill>
              </a:ln>
              <a:effectLst/>
              <a:scene3d>
                <a:camera prst="orthographicFront"/>
                <a:lightRig rig="threePt" dir="t"/>
              </a:scene3d>
              <a:sp3d contourW="25400"/>
            </c:spPr>
          </c:dPt>
          <c:dPt>
            <c:idx val="5"/>
            <c:bubble3D val="0"/>
            <c:spPr>
              <a:solidFill>
                <a:schemeClr val="accent6"/>
              </a:solidFill>
              <a:ln w="25400">
                <a:solidFill>
                  <a:schemeClr val="lt1"/>
                </a:solidFill>
              </a:ln>
              <a:effectLst/>
              <a:scene3d>
                <a:camera prst="orthographicFront"/>
                <a:lightRig rig="threePt" dir="t"/>
              </a:scene3d>
              <a:sp3d contourW="25400"/>
            </c:spPr>
          </c:dPt>
          <c:dPt>
            <c:idx val="6"/>
            <c:bubble3D val="0"/>
            <c:spPr>
              <a:solidFill>
                <a:schemeClr val="accent1">
                  <a:lumMod val="60000"/>
                </a:schemeClr>
              </a:solidFill>
              <a:ln w="25400">
                <a:solidFill>
                  <a:schemeClr val="lt1"/>
                </a:solidFill>
              </a:ln>
              <a:effectLst/>
              <a:scene3d>
                <a:camera prst="orthographicFront"/>
                <a:lightRig rig="threePt" dir="t"/>
              </a:scene3d>
              <a:sp3d contourW="25400"/>
            </c:spPr>
          </c:dPt>
          <c:dPt>
            <c:idx val="7"/>
            <c:bubble3D val="0"/>
            <c:spPr>
              <a:solidFill>
                <a:schemeClr val="accent2">
                  <a:lumMod val="60000"/>
                </a:schemeClr>
              </a:solidFill>
              <a:ln w="25400">
                <a:solidFill>
                  <a:schemeClr val="lt1"/>
                </a:solidFill>
              </a:ln>
              <a:effectLst/>
              <a:scene3d>
                <a:camera prst="orthographicFront"/>
                <a:lightRig rig="threePt" dir="t"/>
              </a:scene3d>
              <a:sp3d contourW="25400"/>
            </c:spPr>
          </c:dPt>
          <c:dPt>
            <c:idx val="8"/>
            <c:bubble3D val="0"/>
            <c:spPr>
              <a:solidFill>
                <a:schemeClr val="accent3">
                  <a:lumMod val="60000"/>
                </a:schemeClr>
              </a:solidFill>
              <a:ln w="25400">
                <a:solidFill>
                  <a:schemeClr val="lt1"/>
                </a:solidFill>
              </a:ln>
              <a:effectLst/>
              <a:scene3d>
                <a:camera prst="orthographicFront"/>
                <a:lightRig rig="threePt" dir="t"/>
              </a:scene3d>
              <a:sp3d contourW="25400"/>
            </c:spPr>
          </c:dPt>
          <c:dPt>
            <c:idx val="9"/>
            <c:bubble3D val="0"/>
            <c:spPr>
              <a:solidFill>
                <a:schemeClr val="accent4">
                  <a:lumMod val="60000"/>
                </a:schemeClr>
              </a:solidFill>
              <a:ln w="25400">
                <a:solidFill>
                  <a:schemeClr val="lt1"/>
                </a:solidFill>
              </a:ln>
              <a:effectLst/>
              <a:scene3d>
                <a:camera prst="orthographicFront"/>
                <a:lightRig rig="threePt" dir="t"/>
              </a:scene3d>
              <a:sp3d contourW="25400"/>
            </c:spPr>
          </c:dPt>
          <c:dPt>
            <c:idx val="10"/>
            <c:bubble3D val="0"/>
            <c:spPr>
              <a:solidFill>
                <a:schemeClr val="accent5">
                  <a:lumMod val="60000"/>
                </a:schemeClr>
              </a:solidFill>
              <a:ln w="25400">
                <a:solidFill>
                  <a:schemeClr val="lt1"/>
                </a:solidFill>
              </a:ln>
              <a:effectLst/>
              <a:scene3d>
                <a:camera prst="orthographicFront"/>
                <a:lightRig rig="threePt" dir="t"/>
              </a:scene3d>
              <a:sp3d contourW="25400"/>
            </c:spPr>
          </c:dPt>
          <c:dPt>
            <c:idx val="11"/>
            <c:bubble3D val="0"/>
            <c:spPr>
              <a:solidFill>
                <a:schemeClr val="accent6">
                  <a:lumMod val="60000"/>
                </a:schemeClr>
              </a:solidFill>
              <a:ln w="25400">
                <a:solidFill>
                  <a:schemeClr val="lt1"/>
                </a:solidFill>
              </a:ln>
              <a:effectLst/>
              <a:scene3d>
                <a:camera prst="orthographicFront"/>
                <a:lightRig rig="threePt" dir="t"/>
              </a:scene3d>
              <a:sp3d contourW="25400"/>
            </c:spPr>
          </c:dPt>
          <c:dPt>
            <c:idx val="12"/>
            <c:bubble3D val="0"/>
            <c:spPr>
              <a:solidFill>
                <a:schemeClr val="accent1">
                  <a:lumMod val="80000"/>
                  <a:lumOff val="20000"/>
                </a:schemeClr>
              </a:solidFill>
              <a:ln w="25400">
                <a:solidFill>
                  <a:schemeClr val="lt1"/>
                </a:solidFill>
              </a:ln>
              <a:effectLst/>
              <a:scene3d>
                <a:camera prst="orthographicFront"/>
                <a:lightRig rig="threePt" dir="t"/>
              </a:scene3d>
              <a:sp3d contourW="25400"/>
            </c:spPr>
          </c:dPt>
          <c:dPt>
            <c:idx val="13"/>
            <c:bubble3D val="0"/>
            <c:spPr>
              <a:solidFill>
                <a:schemeClr val="accent2">
                  <a:lumMod val="80000"/>
                  <a:lumOff val="20000"/>
                </a:schemeClr>
              </a:solidFill>
              <a:ln w="25400">
                <a:solidFill>
                  <a:schemeClr val="lt1"/>
                </a:solidFill>
              </a:ln>
              <a:effectLst/>
              <a:scene3d>
                <a:camera prst="orthographicFront"/>
                <a:lightRig rig="threePt" dir="t"/>
              </a:scene3d>
              <a:sp3d contourW="25400"/>
            </c:spPr>
          </c:dPt>
          <c:dLbls>
            <c:dLbl>
              <c:idx val="0"/>
              <c:layout>
                <c:manualLayout>
                  <c:x val="0.0833333333333333"/>
                  <c:y val="-0.1415391067309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520833333333333"/>
                  <c:y val="-0.067068429237947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64930555555556"/>
                  <c:y val="-0.16038102643856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70138888888889"/>
                  <c:y val="-0.0174961119751166"/>
                </c:manualLayout>
              </c:layout>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119791666666667"/>
                  <c:y val="0.093312597200622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136592642595737"/>
                  <c:y val="0.15435458786936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6"/>
              <c:layout>
                <c:manualLayout>
                  <c:x val="0.0902777777777778"/>
                  <c:y val="0.2274494556765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8"/>
              <c:layout>
                <c:manualLayout>
                  <c:x val="-0.0381944444444444"/>
                  <c:y val="0.097504717970224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9"/>
              <c:layout>
                <c:manualLayout>
                  <c:x val="-0.0972222222222222"/>
                  <c:y val="0.12895785279932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0"/>
              <c:layout>
                <c:manualLayout>
                  <c:x val="-0.1875"/>
                  <c:y val="0.0062906269658209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1"/>
              <c:layout>
                <c:manualLayout>
                  <c:x val="-0.225169996989604"/>
                  <c:y val="-0.070472998731113"/>
                </c:manualLayout>
              </c:layout>
              <c:numFmt formatCode="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2"/>
              <c:layout>
                <c:manualLayout>
                  <c:x val="-0.0659722222222222"/>
                  <c:y val="-0.111332112819085"/>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3"/>
              <c:layout>
                <c:manualLayout>
                  <c:x val="0.0572916666666667"/>
                  <c:y val="-0.14468442021388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[趋势图.xlsx]Sheet2!$A$1:$A$14</c:f>
              <c:strCache>
                <c:ptCount val="14"/>
                <c:pt idx="0" c:formatCode="@">
                  <c:v>农副食品加工业</c:v>
                </c:pt>
                <c:pt idx="1" c:formatCode="@">
                  <c:v>纺织业</c:v>
                </c:pt>
                <c:pt idx="2" c:formatCode="@">
                  <c:v>木材加工和木、竹、藤、棕、草制品业</c:v>
                </c:pt>
                <c:pt idx="3" c:formatCode="@">
                  <c:v>文教、工美、体育和娱乐用品制造业</c:v>
                </c:pt>
                <c:pt idx="4" c:formatCode="@">
                  <c:v>化学原料和化学制品制造业</c:v>
                </c:pt>
                <c:pt idx="5" c:formatCode="@">
                  <c:v>医药制造业 </c:v>
                </c:pt>
                <c:pt idx="6" c:formatCode="@">
                  <c:v>橡胶和塑料制品业</c:v>
                </c:pt>
                <c:pt idx="7" c:formatCode="@">
                  <c:v>非金属矿物制品业</c:v>
                </c:pt>
                <c:pt idx="8" c:formatCode="@">
                  <c:v>黑色金属冶炼和压延加工业 </c:v>
                </c:pt>
                <c:pt idx="9" c:formatCode="@">
                  <c:v>有色金属冶炼和压延加工业 </c:v>
                </c:pt>
                <c:pt idx="10" c:formatCode="@">
                  <c:v>金属制品业 </c:v>
                </c:pt>
                <c:pt idx="11" c:formatCode="@">
                  <c:v>通用设备制造业</c:v>
                </c:pt>
                <c:pt idx="12" c:formatCode="@">
                  <c:v>电气机械和器材制造业 </c:v>
                </c:pt>
                <c:pt idx="13" c:formatCode="@">
                  <c:v>水的生产和供应业  </c:v>
                </c:pt>
              </c:strCache>
            </c:strRef>
          </c:cat>
          <c:val>
            <c:numRef>
              <c:f>[趋势图.xlsx]Sheet2!$B$1:$B$14</c:f>
              <c:numCache>
                <c:formatCode>0.0_ </c:formatCode>
                <c:ptCount val="14"/>
                <c:pt idx="0">
                  <c:v>73280.8</c:v>
                </c:pt>
                <c:pt idx="1">
                  <c:v>12197.6</c:v>
                </c:pt>
                <c:pt idx="2">
                  <c:v>14899.2</c:v>
                </c:pt>
                <c:pt idx="3">
                  <c:v>1721.9</c:v>
                </c:pt>
                <c:pt idx="4">
                  <c:v>31919.4</c:v>
                </c:pt>
                <c:pt idx="5">
                  <c:v>39741.9</c:v>
                </c:pt>
                <c:pt idx="6">
                  <c:v>37717.4</c:v>
                </c:pt>
                <c:pt idx="7">
                  <c:v>288810.6</c:v>
                </c:pt>
                <c:pt idx="8">
                  <c:v>150820.7</c:v>
                </c:pt>
                <c:pt idx="9">
                  <c:v>6271.8</c:v>
                </c:pt>
                <c:pt idx="10">
                  <c:v>97412</c:v>
                </c:pt>
                <c:pt idx="11">
                  <c:v>2105.8</c:v>
                </c:pt>
                <c:pt idx="12" c:formatCode="General">
                  <c:v>29108.6</c:v>
                </c:pt>
                <c:pt idx="13" c:formatCode="General">
                  <c:v>41303.6</c:v>
                </c:pt>
              </c:numCache>
            </c:numRef>
          </c:val>
        </c:ser>
        <c:dLbls>
          <c:showLegendKey val="0"/>
          <c:showVal val="1"/>
          <c:showCatName val="0"/>
          <c:showSerName val="0"/>
          <c:showPercent val="0"/>
          <c:showBubbleSize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100">
                <a:solidFill>
                  <a:sysClr val="windowText" lastClr="000000"/>
                </a:solidFill>
                <a:latin typeface="方正黑体简体" panose="02010601030101010101" charset="-122"/>
                <a:ea typeface="方正黑体简体" panose="02010601030101010101" charset="-122"/>
                <a:cs typeface="方正黑体简体" panose="02010601030101010101" charset="-122"/>
              </a:rPr>
              <a:t>20</a:t>
            </a:r>
            <a:r>
              <a:rPr lang="en-US" altLang="zh-CN" sz="1100">
                <a:solidFill>
                  <a:sysClr val="windowText" lastClr="000000"/>
                </a:solidFill>
                <a:latin typeface="方正黑体简体" panose="02010601030101010101" charset="-122"/>
                <a:ea typeface="方正黑体简体" panose="02010601030101010101" charset="-122"/>
                <a:cs typeface="方正黑体简体" panose="02010601030101010101" charset="-122"/>
              </a:rPr>
              <a:t>20</a:t>
            </a:r>
            <a:r>
              <a:rPr sz="1100">
                <a:solidFill>
                  <a:sysClr val="windowText" lastClr="000000"/>
                </a:solidFill>
                <a:latin typeface="方正黑体简体" panose="02010601030101010101" charset="-122"/>
                <a:ea typeface="方正黑体简体" panose="02010601030101010101" charset="-122"/>
                <a:cs typeface="方正黑体简体" panose="02010601030101010101" charset="-122"/>
              </a:rPr>
              <a:t>年-202</a:t>
            </a:r>
            <a:r>
              <a:rPr lang="en-US" altLang="zh-CN" sz="1100">
                <a:solidFill>
                  <a:sysClr val="windowText" lastClr="000000"/>
                </a:solidFill>
                <a:latin typeface="方正黑体简体" panose="02010601030101010101" charset="-122"/>
                <a:ea typeface="方正黑体简体" panose="02010601030101010101" charset="-122"/>
                <a:cs typeface="方正黑体简体" panose="02010601030101010101" charset="-122"/>
              </a:rPr>
              <a:t>4</a:t>
            </a:r>
            <a:r>
              <a:rPr sz="1100">
                <a:solidFill>
                  <a:sysClr val="windowText" lastClr="000000"/>
                </a:solidFill>
                <a:latin typeface="方正黑体简体" panose="02010601030101010101" charset="-122"/>
                <a:ea typeface="方正黑体简体" panose="02010601030101010101" charset="-122"/>
                <a:cs typeface="方正黑体简体" panose="02010601030101010101" charset="-122"/>
              </a:rPr>
              <a:t>年固定资产投资（不含农户）及其增长速度</a:t>
            </a:r>
            <a:endParaRPr sz="1100">
              <a:solidFill>
                <a:sysClr val="windowText" lastClr="000000"/>
              </a:solidFill>
              <a:latin typeface="方正黑体简体" panose="02010601030101010101" charset="-122"/>
              <a:ea typeface="方正黑体简体" panose="02010601030101010101" charset="-122"/>
              <a:cs typeface="方正黑体简体" panose="02010601030101010101" charset="-122"/>
            </a:endParaRPr>
          </a:p>
        </c:rich>
      </c:tx>
      <c:layout>
        <c:manualLayout>
          <c:xMode val="edge"/>
          <c:yMode val="edge"/>
          <c:x val="0.129027777777778"/>
          <c:y val="0.0416666666666667"/>
        </c:manualLayout>
      </c:layout>
      <c:overlay val="0"/>
      <c:spPr>
        <a:noFill/>
        <a:ln>
          <a:noFill/>
        </a:ln>
        <a:effectLst/>
      </c:spPr>
    </c:title>
    <c:autoTitleDeleted val="0"/>
    <c:plotArea>
      <c:layout/>
      <c:barChart>
        <c:barDir val="col"/>
        <c:grouping val="clustered"/>
        <c:varyColors val="0"/>
        <c:ser>
          <c:idx val="0"/>
          <c:order val="0"/>
          <c:tx>
            <c:strRef>
              <c:f>[趋势图.xlsx]Sheet1!$A$26</c:f>
              <c:strCache>
                <c:ptCount val="1"/>
                <c:pt idx="0">
                  <c:v>总量（亿元）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[趋势图.xlsx]Sheet1!$B$25:$F$25</c:f>
              <c:strCache>
                <c:ptCount val="5"/>
                <c:pt idx="0">
                  <c:v>2020年</c:v>
                </c:pt>
                <c:pt idx="1">
                  <c:v>2021年</c:v>
                </c:pt>
                <c:pt idx="2">
                  <c:v>2022年</c:v>
                </c:pt>
                <c:pt idx="3">
                  <c:v>2023年</c:v>
                </c:pt>
                <c:pt idx="4">
                  <c:v>2024年</c:v>
                </c:pt>
              </c:strCache>
            </c:strRef>
          </c:cat>
          <c:val>
            <c:numRef>
              <c:f>[趋势图.xlsx]Sheet1!$B$26:$F$26</c:f>
              <c:numCache>
                <c:formatCode>General</c:formatCode>
                <c:ptCount val="5"/>
                <c:pt idx="0">
                  <c:v>25.41</c:v>
                </c:pt>
                <c:pt idx="1">
                  <c:v>31.54</c:v>
                </c:pt>
                <c:pt idx="2">
                  <c:v>41.19</c:v>
                </c:pt>
                <c:pt idx="3">
                  <c:v>44.02</c:v>
                </c:pt>
                <c:pt idx="4">
                  <c:v>52.02</c:v>
                </c:pt>
              </c:numCache>
            </c:numRef>
          </c:val>
        </c:ser>
        <c:dLbls>
          <c:showLegendKey val="0"/>
          <c:showVal val="1"/>
          <c:showCatName val="0"/>
          <c:showSerName val="0"/>
          <c:showPercent val="0"/>
          <c:showBubbleSize val="0"/>
        </c:dLbls>
        <c:gapWidth val="150"/>
        <c:overlap val="0"/>
        <c:axId val="734303412"/>
        <c:axId val="137897412"/>
      </c:barChart>
      <c:lineChart>
        <c:grouping val="standard"/>
        <c:varyColors val="0"/>
        <c:ser>
          <c:idx val="1"/>
          <c:order val="1"/>
          <c:tx>
            <c:strRef>
              <c:f>[趋势图.xlsx]Sheet1!$A$27</c:f>
              <c:strCache>
                <c:ptCount val="1"/>
                <c:pt idx="0">
                  <c:v>增速（%）</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[趋势图.xlsx]Sheet1!$B$25:$F$25</c:f>
              <c:strCache>
                <c:ptCount val="5"/>
                <c:pt idx="0">
                  <c:v>2020年</c:v>
                </c:pt>
                <c:pt idx="1">
                  <c:v>2021年</c:v>
                </c:pt>
                <c:pt idx="2">
                  <c:v>2022年</c:v>
                </c:pt>
                <c:pt idx="3">
                  <c:v>2023年</c:v>
                </c:pt>
                <c:pt idx="4">
                  <c:v>2024年</c:v>
                </c:pt>
              </c:strCache>
            </c:strRef>
          </c:cat>
          <c:val>
            <c:numRef>
              <c:f>[趋势图.xlsx]Sheet1!$B$27:$F$27</c:f>
              <c:numCache>
                <c:formatCode>0.00%</c:formatCode>
                <c:ptCount val="5"/>
                <c:pt idx="0">
                  <c:v>-0.1746</c:v>
                </c:pt>
                <c:pt idx="1">
                  <c:v>0.241</c:v>
                </c:pt>
                <c:pt idx="2">
                  <c:v>0.306</c:v>
                </c:pt>
                <c:pt idx="3">
                  <c:v>0.069</c:v>
                </c:pt>
                <c:pt idx="4">
                  <c:v>0.182</c:v>
                </c:pt>
              </c:numCache>
            </c:numRef>
          </c:val>
          <c:smooth val="0"/>
        </c:ser>
        <c:dLbls>
          <c:showLegendKey val="0"/>
          <c:showVal val="1"/>
          <c:showCatName val="0"/>
          <c:showSerName val="0"/>
          <c:showPercent val="0"/>
          <c:showBubbleSize val="0"/>
        </c:dLbls>
        <c:marker val="0"/>
        <c:smooth val="0"/>
        <c:axId val="477390197"/>
        <c:axId val="384600939"/>
      </c:lineChart>
      <c:catAx>
        <c:axId val="73430341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7897412"/>
        <c:crosses val="autoZero"/>
        <c:auto val="1"/>
        <c:lblAlgn val="ctr"/>
        <c:lblOffset val="100"/>
        <c:noMultiLvlLbl val="0"/>
      </c:catAx>
      <c:valAx>
        <c:axId val="1378974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303412"/>
        <c:crosses val="autoZero"/>
        <c:crossBetween val="between"/>
      </c:valAx>
      <c:catAx>
        <c:axId val="477390197"/>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4600939"/>
        <c:crosses val="autoZero"/>
        <c:auto val="1"/>
        <c:lblAlgn val="ctr"/>
        <c:lblOffset val="100"/>
        <c:noMultiLvlLbl val="0"/>
      </c:catAx>
      <c:valAx>
        <c:axId val="384600939"/>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7390197"/>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100">
                <a:solidFill>
                  <a:sysClr val="windowText" lastClr="000000"/>
                </a:solidFill>
                <a:latin typeface="Times New Roman" panose="02020603050405020304" charset="0"/>
                <a:ea typeface="方正黑体简体" panose="02010601030101010101" charset="-122"/>
                <a:cs typeface="Times New Roman" panose="02020603050405020304" charset="0"/>
              </a:rPr>
              <a:t>2024</a:t>
            </a:r>
            <a:r>
              <a:rPr altLang="en-US" sz="1100">
                <a:solidFill>
                  <a:sysClr val="windowText" lastClr="000000"/>
                </a:solidFill>
                <a:latin typeface="Times New Roman" panose="02020603050405020304" charset="0"/>
                <a:ea typeface="方正黑体简体" panose="02010601030101010101" charset="-122"/>
                <a:cs typeface="Times New Roman" panose="02020603050405020304" charset="0"/>
              </a:rPr>
              <a:t>年三次产业投资占固定资产投资（不含农户）比重</a:t>
            </a:r>
            <a:endParaRPr altLang="en-US" sz="1100">
              <a:solidFill>
                <a:sysClr val="windowText" lastClr="000000"/>
              </a:solidFill>
              <a:latin typeface="Times New Roman" panose="02020603050405020304" charset="0"/>
              <a:ea typeface="方正黑体简体" panose="02010601030101010101" charset="-122"/>
              <a:cs typeface="Times New Roman" panose="02020603050405020304" charset="0"/>
            </a:endParaRPr>
          </a:p>
        </c:rich>
      </c:tx>
      <c:layout>
        <c:manualLayout>
          <c:xMode val="edge"/>
          <c:yMode val="edge"/>
          <c:x val="0.156866488481609"/>
          <c:y val="0.0504241281809614"/>
        </c:manualLayout>
      </c:layout>
      <c:overlay val="0"/>
      <c:spPr>
        <a:noFill/>
        <a:ln>
          <a:noFill/>
        </a:ln>
        <a:effectLst/>
      </c:spPr>
    </c:title>
    <c:autoTitleDeleted val="0"/>
    <c:plotArea>
      <c:layout/>
      <c:pieChart>
        <c:varyColors val="1"/>
        <c:ser>
          <c:idx val="0"/>
          <c:order val="0"/>
          <c:spPr>
            <a:scene3d>
              <a:camera prst="orthographicFront"/>
              <a:lightRig rig="threePt" dir="t"/>
            </a:scene3d>
            <a:sp3d contourW="25400"/>
          </c:spPr>
          <c:explosion val="0"/>
          <c:dPt>
            <c:idx val="0"/>
            <c:bubble3D val="0"/>
            <c:spPr>
              <a:solidFill>
                <a:schemeClr val="accent1"/>
              </a:solidFill>
              <a:ln w="25400">
                <a:solidFill>
                  <a:schemeClr val="lt1"/>
                </a:solidFill>
              </a:ln>
              <a:effectLst/>
              <a:scene3d>
                <a:camera prst="orthographicFront"/>
                <a:lightRig rig="threePt" dir="t"/>
              </a:scene3d>
              <a:sp3d contourW="25400"/>
            </c:spPr>
          </c:dPt>
          <c:dPt>
            <c:idx val="1"/>
            <c:bubble3D val="0"/>
            <c:spPr>
              <a:solidFill>
                <a:schemeClr val="accent2"/>
              </a:solidFill>
              <a:ln w="25400">
                <a:solidFill>
                  <a:schemeClr val="lt1"/>
                </a:solidFill>
              </a:ln>
              <a:effectLst/>
              <a:scene3d>
                <a:camera prst="orthographicFront"/>
                <a:lightRig rig="threePt" dir="t"/>
              </a:scene3d>
              <a:sp3d contourW="25400"/>
            </c:spPr>
          </c:dPt>
          <c:dPt>
            <c:idx val="2"/>
            <c:bubble3D val="0"/>
            <c:spPr>
              <a:solidFill>
                <a:schemeClr val="accent3"/>
              </a:solidFill>
              <a:ln w="25400">
                <a:solidFill>
                  <a:schemeClr val="lt1"/>
                </a:solidFill>
              </a:ln>
              <a:effectLst/>
              <a:scene3d>
                <a:camera prst="orthographicFront"/>
                <a:lightRig rig="threePt" dir="t"/>
              </a:scene3d>
              <a:sp3d contourW="25400"/>
            </c:spPr>
          </c:dPt>
          <c:dLbls>
            <c:dLbl>
              <c:idx val="0"/>
              <c:layout>
                <c:manualLayout>
                  <c:x val="0.180190435280642"/>
                  <c:y val="0.062467274060111"/>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ext>
              </c:extLst>
            </c:dLbl>
            <c:dLbl>
              <c:idx val="1"/>
              <c:layout>
                <c:manualLayout>
                  <c:x val="0.0855876761109269"/>
                  <c:y val="0.179449564391064"/>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ext>
              </c:extLst>
            </c:dLbl>
            <c:dLbl>
              <c:idx val="2"/>
              <c:layout>
                <c:manualLayout>
                  <c:x val="-0.05625"/>
                  <c:y val="0.0729166666666667"/>
                </c:manualLayout>
              </c:layout>
              <c:dLblPos val="bestFit"/>
              <c:showLegendKey val="0"/>
              <c:showVal val="1"/>
              <c:showCatName val="1"/>
              <c:showSerName val="0"/>
              <c:showPercent val="1"/>
              <c:showBubbleSize val="0"/>
              <c:separator>;</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[趋势图.xlsx]Sheet2!$F$1:$F$3</c:f>
              <c:strCache>
                <c:ptCount val="3"/>
                <c:pt idx="0">
                  <c:v>第一产业投资</c:v>
                </c:pt>
                <c:pt idx="1">
                  <c:v>第二产业投资</c:v>
                </c:pt>
                <c:pt idx="2">
                  <c:v>第三产业投资</c:v>
                </c:pt>
              </c:strCache>
            </c:strRef>
          </c:cat>
          <c:val>
            <c:numRef>
              <c:f>[趋势图.xlsx]Sheet2!$G$1:$G$3</c:f>
              <c:numCache>
                <c:formatCode>General</c:formatCode>
                <c:ptCount val="3"/>
                <c:pt idx="0">
                  <c:v>4.56</c:v>
                </c:pt>
                <c:pt idx="1">
                  <c:v>18.14</c:v>
                </c:pt>
                <c:pt idx="2">
                  <c:v>29.32</c:v>
                </c:pt>
              </c:numCache>
            </c:numRef>
          </c:val>
        </c:ser>
        <c:dLbls>
          <c:showLegendKey val="0"/>
          <c:showVal val="1"/>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solidFill>
                  <a:sysClr val="windowText" lastClr="000000"/>
                </a:solidFill>
                <a:latin typeface="Times New Roman" panose="02020603050405020304" charset="0"/>
                <a:ea typeface="方正黑体简体" panose="02010601030101010101" charset="-122"/>
                <a:cs typeface="Times New Roman" panose="02020603050405020304" charset="0"/>
              </a:rPr>
              <a:t>2020</a:t>
            </a:r>
            <a:r>
              <a:rPr altLang="en-US" sz="1200">
                <a:solidFill>
                  <a:sysClr val="windowText" lastClr="000000"/>
                </a:solidFill>
                <a:latin typeface="Times New Roman" panose="02020603050405020304" charset="0"/>
                <a:ea typeface="方正黑体简体" panose="02010601030101010101" charset="-122"/>
                <a:cs typeface="Times New Roman" panose="02020603050405020304" charset="0"/>
              </a:rPr>
              <a:t>年</a:t>
            </a:r>
            <a:r>
              <a:rPr lang="en-US" altLang="zh-CN" sz="1200">
                <a:solidFill>
                  <a:sysClr val="windowText" lastClr="000000"/>
                </a:solidFill>
                <a:latin typeface="Times New Roman" panose="02020603050405020304" charset="0"/>
                <a:ea typeface="方正黑体简体" panose="02010601030101010101" charset="-122"/>
                <a:cs typeface="Times New Roman" panose="02020603050405020304" charset="0"/>
              </a:rPr>
              <a:t>-2024</a:t>
            </a:r>
            <a:r>
              <a:rPr altLang="en-US" sz="1200">
                <a:solidFill>
                  <a:sysClr val="windowText" lastClr="000000"/>
                </a:solidFill>
                <a:latin typeface="Times New Roman" panose="02020603050405020304" charset="0"/>
                <a:ea typeface="方正黑体简体" panose="02010601030101010101" charset="-122"/>
                <a:cs typeface="Times New Roman" panose="02020603050405020304" charset="0"/>
              </a:rPr>
              <a:t>年社会消费品零售总额及其增长速度</a:t>
            </a:r>
            <a:endParaRPr altLang="en-US" sz="1200">
              <a:solidFill>
                <a:sysClr val="windowText" lastClr="000000"/>
              </a:solidFill>
              <a:latin typeface="Times New Roman" panose="02020603050405020304" charset="0"/>
              <a:ea typeface="方正黑体简体" panose="02010601030101010101" charset="-122"/>
              <a:cs typeface="Times New Roman" panose="02020603050405020304" charset="0"/>
            </a:endParaRPr>
          </a:p>
        </c:rich>
      </c:tx>
      <c:layout/>
      <c:overlay val="0"/>
      <c:spPr>
        <a:noFill/>
        <a:ln>
          <a:noFill/>
        </a:ln>
        <a:effectLst/>
      </c:spPr>
    </c:title>
    <c:autoTitleDeleted val="0"/>
    <c:plotArea>
      <c:layout/>
      <c:barChart>
        <c:barDir val="col"/>
        <c:grouping val="clustered"/>
        <c:varyColors val="0"/>
        <c:ser>
          <c:idx val="0"/>
          <c:order val="0"/>
          <c:tx>
            <c:strRef>
              <c:f>[趋势图.xlsx]Sheet1!$A$22</c:f>
              <c:strCache>
                <c:ptCount val="1"/>
                <c:pt idx="0">
                  <c:v>总量（亿元）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[趋势图.xlsx]Sheet1!$B$21:$F$21</c:f>
              <c:strCache>
                <c:ptCount val="5"/>
                <c:pt idx="0">
                  <c:v>2020年</c:v>
                </c:pt>
                <c:pt idx="1">
                  <c:v>2021年</c:v>
                </c:pt>
                <c:pt idx="2">
                  <c:v>2022年</c:v>
                </c:pt>
                <c:pt idx="3">
                  <c:v>2023年</c:v>
                </c:pt>
                <c:pt idx="4">
                  <c:v>2024年</c:v>
                </c:pt>
              </c:strCache>
            </c:strRef>
          </c:cat>
          <c:val>
            <c:numRef>
              <c:f>[趋势图.xlsx]Sheet1!$B$22:$F$22</c:f>
              <c:numCache>
                <c:formatCode>General</c:formatCode>
                <c:ptCount val="5"/>
                <c:pt idx="0">
                  <c:v>16.3</c:v>
                </c:pt>
                <c:pt idx="1">
                  <c:v>19.41</c:v>
                </c:pt>
                <c:pt idx="2">
                  <c:v>16.63</c:v>
                </c:pt>
                <c:pt idx="3">
                  <c:v>19.14</c:v>
                </c:pt>
                <c:pt idx="4">
                  <c:v>20.71</c:v>
                </c:pt>
              </c:numCache>
            </c:numRef>
          </c:val>
        </c:ser>
        <c:dLbls>
          <c:showLegendKey val="0"/>
          <c:showVal val="1"/>
          <c:showCatName val="0"/>
          <c:showSerName val="0"/>
          <c:showPercent val="0"/>
          <c:showBubbleSize val="0"/>
        </c:dLbls>
        <c:gapWidth val="150"/>
        <c:overlap val="0"/>
        <c:axId val="359734472"/>
        <c:axId val="365431647"/>
      </c:barChart>
      <c:lineChart>
        <c:grouping val="standard"/>
        <c:varyColors val="0"/>
        <c:ser>
          <c:idx val="1"/>
          <c:order val="1"/>
          <c:tx>
            <c:strRef>
              <c:f>[趋势图.xlsx]Sheet1!$A$23</c:f>
              <c:strCache>
                <c:ptCount val="1"/>
                <c:pt idx="0">
                  <c:v>增速（%）</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[趋势图.xlsx]Sheet1!$B$21:$F$21</c:f>
              <c:strCache>
                <c:ptCount val="5"/>
                <c:pt idx="0">
                  <c:v>2020年</c:v>
                </c:pt>
                <c:pt idx="1">
                  <c:v>2021年</c:v>
                </c:pt>
                <c:pt idx="2">
                  <c:v>2022年</c:v>
                </c:pt>
                <c:pt idx="3">
                  <c:v>2023年</c:v>
                </c:pt>
                <c:pt idx="4">
                  <c:v>2024年</c:v>
                </c:pt>
              </c:strCache>
            </c:strRef>
          </c:cat>
          <c:val>
            <c:numRef>
              <c:f>[趋势图.xlsx]Sheet1!$B$23:$F$23</c:f>
              <c:numCache>
                <c:formatCode>0.00%</c:formatCode>
                <c:ptCount val="5"/>
                <c:pt idx="0">
                  <c:v>-0.157</c:v>
                </c:pt>
                <c:pt idx="1" c:formatCode="0%">
                  <c:v>0.11</c:v>
                </c:pt>
                <c:pt idx="2">
                  <c:v>-0.143</c:v>
                </c:pt>
                <c:pt idx="3">
                  <c:v>0.151</c:v>
                </c:pt>
                <c:pt idx="4">
                  <c:v>0.082</c:v>
                </c:pt>
              </c:numCache>
            </c:numRef>
          </c:val>
          <c:smooth val="0"/>
        </c:ser>
        <c:dLbls>
          <c:showLegendKey val="0"/>
          <c:showVal val="1"/>
          <c:showCatName val="0"/>
          <c:showSerName val="0"/>
          <c:showPercent val="0"/>
          <c:showBubbleSize val="0"/>
        </c:dLbls>
        <c:marker val="0"/>
        <c:smooth val="0"/>
        <c:axId val="718920595"/>
        <c:axId val="966627641"/>
      </c:lineChart>
      <c:catAx>
        <c:axId val="35973447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5431647"/>
        <c:crosses val="autoZero"/>
        <c:auto val="1"/>
        <c:lblAlgn val="ctr"/>
        <c:lblOffset val="100"/>
        <c:noMultiLvlLbl val="0"/>
      </c:catAx>
      <c:valAx>
        <c:axId val="36543164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9734472"/>
        <c:crosses val="autoZero"/>
        <c:crossBetween val="between"/>
      </c:valAx>
      <c:catAx>
        <c:axId val="71892059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6627641"/>
        <c:crosses val="autoZero"/>
        <c:auto val="1"/>
        <c:lblAlgn val="ctr"/>
        <c:lblOffset val="100"/>
        <c:noMultiLvlLbl val="0"/>
      </c:catAx>
      <c:valAx>
        <c:axId val="966627641"/>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8920595"/>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sz="1200">
                <a:solidFill>
                  <a:sysClr val="windowText" lastClr="000000"/>
                </a:solidFill>
                <a:latin typeface="方正黑体简体" panose="02010601030101010101" charset="-122"/>
                <a:ea typeface="方正黑体简体" panose="02010601030101010101" charset="-122"/>
                <a:cs typeface="方正黑体简体" panose="02010601030101010101" charset="-122"/>
              </a:rPr>
              <a:t>2020-2024</a:t>
            </a:r>
            <a:r>
              <a:rPr altLang="en-US" sz="1200">
                <a:solidFill>
                  <a:sysClr val="windowText" lastClr="000000"/>
                </a:solidFill>
                <a:latin typeface="方正黑体简体" panose="02010601030101010101" charset="-122"/>
                <a:ea typeface="方正黑体简体" panose="02010601030101010101" charset="-122"/>
                <a:cs typeface="方正黑体简体" panose="02010601030101010101" charset="-122"/>
              </a:rPr>
              <a:t>年一般公共预算收入</a:t>
            </a:r>
            <a:endParaRPr altLang="en-US" sz="1200">
              <a:solidFill>
                <a:sysClr val="windowText" lastClr="000000"/>
              </a:solidFill>
              <a:latin typeface="方正黑体简体" panose="02010601030101010101" charset="-122"/>
              <a:ea typeface="方正黑体简体" panose="02010601030101010101" charset="-122"/>
              <a:cs typeface="方正黑体简体" panose="02010601030101010101" charset="-122"/>
            </a:endParaRPr>
          </a:p>
        </c:rich>
      </c:tx>
      <c:layout>
        <c:manualLayout>
          <c:xMode val="edge"/>
          <c:yMode val="edge"/>
          <c:x val="0.249861111111111"/>
          <c:y val="0.0381944444444444"/>
        </c:manualLayout>
      </c:layout>
      <c:overlay val="0"/>
      <c:spPr>
        <a:noFill/>
        <a:ln>
          <a:noFill/>
        </a:ln>
        <a:effectLst/>
      </c:spPr>
    </c:title>
    <c:autoTitleDeleted val="0"/>
    <c:plotArea>
      <c:layout/>
      <c:barChart>
        <c:barDir val="col"/>
        <c:grouping val="clustered"/>
        <c:varyColors val="0"/>
        <c:ser>
          <c:idx val="0"/>
          <c:order val="0"/>
          <c:tx>
            <c:strRef>
              <c:f>[趋势图.xlsx]Sheet1!$A$30</c:f>
              <c:strCache>
                <c:ptCount val="1"/>
                <c:pt idx="0">
                  <c:v>总量（亿元）</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[趋势图.xlsx]Sheet1!$B$29:$F$29</c:f>
              <c:strCache>
                <c:ptCount val="5"/>
                <c:pt idx="0">
                  <c:v>2020年</c:v>
                </c:pt>
                <c:pt idx="1">
                  <c:v>2021年</c:v>
                </c:pt>
                <c:pt idx="2">
                  <c:v>2022年</c:v>
                </c:pt>
                <c:pt idx="3">
                  <c:v>2023年</c:v>
                </c:pt>
                <c:pt idx="4">
                  <c:v>2024年</c:v>
                </c:pt>
              </c:strCache>
            </c:strRef>
          </c:cat>
          <c:val>
            <c:numRef>
              <c:f>[趋势图.xlsx]Sheet1!$B$30:$F$30</c:f>
              <c:numCache>
                <c:formatCode>General</c:formatCode>
                <c:ptCount val="5"/>
                <c:pt idx="0">
                  <c:v>3.68</c:v>
                </c:pt>
                <c:pt idx="1">
                  <c:v>3.86</c:v>
                </c:pt>
                <c:pt idx="2">
                  <c:v>4.41</c:v>
                </c:pt>
                <c:pt idx="3">
                  <c:v>5.24</c:v>
                </c:pt>
                <c:pt idx="4">
                  <c:v>6.19</c:v>
                </c:pt>
              </c:numCache>
            </c:numRef>
          </c:val>
        </c:ser>
        <c:dLbls>
          <c:showLegendKey val="0"/>
          <c:showVal val="1"/>
          <c:showCatName val="0"/>
          <c:showSerName val="0"/>
          <c:showPercent val="0"/>
          <c:showBubbleSize val="0"/>
        </c:dLbls>
        <c:gapWidth val="150"/>
        <c:overlap val="0"/>
        <c:axId val="608271307"/>
        <c:axId val="849916454"/>
      </c:barChart>
      <c:lineChart>
        <c:grouping val="standard"/>
        <c:varyColors val="0"/>
        <c:ser>
          <c:idx val="1"/>
          <c:order val="1"/>
          <c:tx>
            <c:strRef>
              <c:f>[趋势图.xlsx]Sheet1!$A$31</c:f>
              <c:strCache>
                <c:ptCount val="1"/>
                <c:pt idx="0">
                  <c:v>增速（%）</c:v>
                </c:pt>
              </c:strCache>
            </c:strRef>
          </c:tx>
          <c:spPr>
            <a:ln w="28575" cap="rnd">
              <a:solidFill>
                <a:schemeClr val="accent2"/>
              </a:solidFill>
              <a:round/>
            </a:ln>
            <a:effectLst/>
          </c:spPr>
          <c:marker>
            <c:symbol val="none"/>
          </c:marker>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[趋势图.xlsx]Sheet1!$B$29:$F$29</c:f>
              <c:strCache>
                <c:ptCount val="5"/>
                <c:pt idx="0">
                  <c:v>2020年</c:v>
                </c:pt>
                <c:pt idx="1">
                  <c:v>2021年</c:v>
                </c:pt>
                <c:pt idx="2">
                  <c:v>2022年</c:v>
                </c:pt>
                <c:pt idx="3">
                  <c:v>2023年</c:v>
                </c:pt>
                <c:pt idx="4">
                  <c:v>2024年</c:v>
                </c:pt>
              </c:strCache>
            </c:strRef>
          </c:cat>
          <c:val>
            <c:numRef>
              <c:f>[趋势图.xlsx]Sheet1!$B$31:$F$31</c:f>
              <c:numCache>
                <c:formatCode>0.00%</c:formatCode>
                <c:ptCount val="5"/>
                <c:pt idx="0">
                  <c:v>0.049</c:v>
                </c:pt>
                <c:pt idx="1" c:formatCode="0%">
                  <c:v>0.05</c:v>
                </c:pt>
                <c:pt idx="2">
                  <c:v>0.143</c:v>
                </c:pt>
                <c:pt idx="3">
                  <c:v>0.1887</c:v>
                </c:pt>
                <c:pt idx="4">
                  <c:v>0.1808</c:v>
                </c:pt>
              </c:numCache>
            </c:numRef>
          </c:val>
          <c:smooth val="0"/>
        </c:ser>
        <c:dLbls>
          <c:showLegendKey val="0"/>
          <c:showVal val="1"/>
          <c:showCatName val="0"/>
          <c:showSerName val="0"/>
          <c:showPercent val="0"/>
          <c:showBubbleSize val="0"/>
        </c:dLbls>
        <c:marker val="0"/>
        <c:smooth val="0"/>
        <c:axId val="405193327"/>
        <c:axId val="608787468"/>
      </c:lineChart>
      <c:catAx>
        <c:axId val="60827130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9916454"/>
        <c:crosses val="autoZero"/>
        <c:auto val="1"/>
        <c:lblAlgn val="ctr"/>
        <c:lblOffset val="100"/>
        <c:noMultiLvlLbl val="0"/>
      </c:catAx>
      <c:valAx>
        <c:axId val="8499164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271307"/>
        <c:crosses val="autoZero"/>
        <c:crossBetween val="between"/>
      </c:valAx>
      <c:catAx>
        <c:axId val="405193327"/>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8787468"/>
        <c:crosses val="autoZero"/>
        <c:auto val="1"/>
        <c:lblAlgn val="ctr"/>
        <c:lblOffset val="100"/>
        <c:noMultiLvlLbl val="0"/>
      </c:catAx>
      <c:valAx>
        <c:axId val="608787468"/>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5193327"/>
        <c:crosses val="max"/>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34"/>
    <customShpInfo spid="_x0000_s1035"/>
    <customShpInfo spid="_x0000_s102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F631ED-6047-4ECC-9295-F81D858C8CA6}">
  <ds:schemaRefs/>
</ds:datastoreItem>
</file>

<file path=docProps/app.xml><?xml version="1.0" encoding="utf-8"?>
<Properties xmlns="http://schemas.openxmlformats.org/officeDocument/2006/extended-properties" xmlns:vt="http://schemas.openxmlformats.org/officeDocument/2006/docPropsVTypes">
  <Template>Normal</Template>
  <Pages>16</Pages>
  <Words>788</Words>
  <Characters>4492</Characters>
  <Lines>37</Lines>
  <Paragraphs>10</Paragraphs>
  <TotalTime>11</TotalTime>
  <ScaleCrop>false</ScaleCrop>
  <LinksUpToDate>false</LinksUpToDate>
  <CharactersWithSpaces>5270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2023-12-17T11:31:00Z</dcterms:created>
  <dc:creator>Administrator</dc:creator>
  <cp:lastModifiedBy>Administrator</cp:lastModifiedBy>
  <cp:lastPrinted>2025-05-13T04:19:00Z</cp:lastPrinted>
  <dcterms:modified xsi:type="dcterms:W3CDTF">2025-07-03T09:40:07Z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