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宋体" w:eastAsia="方正小标宋_GBK" w:cs="宋体"/>
          <w:kern w:val="0"/>
          <w:sz w:val="40"/>
          <w:szCs w:val="40"/>
        </w:rPr>
      </w:pPr>
      <w:r>
        <w:rPr>
          <w:rFonts w:hint="eastAsia" w:ascii="方正小标宋_GBK" w:hAnsi="宋体" w:eastAsia="方正小标宋_GBK" w:cs="宋体"/>
          <w:kern w:val="0"/>
          <w:sz w:val="40"/>
          <w:szCs w:val="40"/>
          <w:lang w:val="en-US" w:eastAsia="zh-CN"/>
        </w:rPr>
        <w:t>喀什地区生态环境局疏勒县分局第四季度</w:t>
      </w:r>
      <w:r>
        <w:rPr>
          <w:rFonts w:hint="eastAsia" w:ascii="方正小标宋_GBK" w:hAnsi="宋体" w:eastAsia="方正小标宋_GBK" w:cs="宋体"/>
          <w:kern w:val="0"/>
          <w:sz w:val="40"/>
          <w:szCs w:val="40"/>
        </w:rPr>
        <w:t>污染源日常环境监管领域随机抽查工作情况公告</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default"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i w:val="0"/>
          <w:caps w:val="0"/>
          <w:color w:val="000000"/>
          <w:spacing w:val="0"/>
          <w:sz w:val="32"/>
          <w:szCs w:val="32"/>
          <w:shd w:val="clear" w:fill="FFFFFF"/>
          <w:lang w:val="en-US" w:eastAsia="zh-CN"/>
        </w:rPr>
        <w:t>年第四季度，喀什地区生态环境局疏勒县分局组织开展疏勒县第四季度污染源日常环境监管领域随机抽查检查工作，</w:t>
      </w:r>
      <w:r>
        <w:rPr>
          <w:rFonts w:hint="eastAsia" w:ascii="方正仿宋_GBK" w:hAnsi="方正仿宋_GBK" w:eastAsia="方正仿宋_GBK" w:cs="方正仿宋_GBK"/>
          <w:sz w:val="32"/>
          <w:szCs w:val="32"/>
          <w:lang w:val="en-US" w:eastAsia="zh-CN"/>
        </w:rPr>
        <w:t>按照《</w:t>
      </w:r>
      <w:r>
        <w:rPr>
          <w:rFonts w:hint="eastAsia"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sz w:val="32"/>
          <w:szCs w:val="32"/>
          <w:lang w:val="en-US" w:eastAsia="zh-CN"/>
        </w:rPr>
        <w:t>年疏勒县污染源日常环境监管随机抽查工作方案》要求，根据污染源分类抽查比例，我分局</w:t>
      </w:r>
      <w:r>
        <w:rPr>
          <w:rFonts w:hint="eastAsia"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sz w:val="32"/>
          <w:szCs w:val="32"/>
          <w:lang w:val="en-US" w:eastAsia="zh-CN"/>
        </w:rPr>
        <w:t>年第四季度共抽取污染源</w:t>
      </w:r>
      <w:r>
        <w:rPr>
          <w:rFonts w:hint="eastAsia" w:ascii="Times New Roman" w:hAnsi="Times New Roman" w:eastAsia="方正仿宋_GBK" w:cs="Times New Roman"/>
          <w:i w:val="0"/>
          <w:caps w:val="0"/>
          <w:color w:val="000000"/>
          <w:spacing w:val="0"/>
          <w:sz w:val="32"/>
          <w:szCs w:val="32"/>
          <w:shd w:val="clear" w:fill="FFFFFF"/>
          <w:lang w:val="en-US" w:eastAsia="zh-CN"/>
        </w:rPr>
        <w:t>15</w:t>
      </w:r>
      <w:r>
        <w:rPr>
          <w:rFonts w:hint="eastAsia" w:ascii="方正仿宋_GBK" w:hAnsi="方正仿宋_GBK" w:eastAsia="方正仿宋_GBK" w:cs="方正仿宋_GBK"/>
          <w:sz w:val="32"/>
          <w:szCs w:val="32"/>
          <w:lang w:val="en-US" w:eastAsia="zh-CN"/>
        </w:rPr>
        <w:t>家次。检查重点污染源8家次，一般污染源</w:t>
      </w:r>
      <w:r>
        <w:rPr>
          <w:rFonts w:hint="eastAsia" w:ascii="Times New Roman" w:hAnsi="Times New Roman" w:eastAsia="方正仿宋_GBK" w:cs="Times New Roman"/>
          <w:i w:val="0"/>
          <w:caps w:val="0"/>
          <w:color w:val="000000"/>
          <w:spacing w:val="0"/>
          <w:sz w:val="32"/>
          <w:szCs w:val="32"/>
          <w:shd w:val="clear" w:fill="FFFFFF"/>
          <w:lang w:val="en-US" w:eastAsia="zh-CN"/>
        </w:rPr>
        <w:t>7</w:t>
      </w:r>
      <w:r>
        <w:rPr>
          <w:rFonts w:hint="eastAsia" w:ascii="方正仿宋_GBK" w:hAnsi="方正仿宋_GBK" w:eastAsia="方正仿宋_GBK" w:cs="方正仿宋_GBK"/>
          <w:sz w:val="32"/>
          <w:szCs w:val="32"/>
          <w:lang w:val="en-US" w:eastAsia="zh-CN"/>
        </w:rPr>
        <w:t>家次</w:t>
      </w:r>
      <w:r>
        <w:rPr>
          <w:rFonts w:hint="eastAsia" w:ascii="方正仿宋_GBK" w:hAnsi="方正仿宋_GBK" w:eastAsia="方正仿宋_GBK" w:cs="方正仿宋_GBK"/>
          <w:b w:val="0"/>
          <w:bCs w:val="0"/>
          <w:i w:val="0"/>
          <w:iCs w:val="0"/>
          <w:caps w:val="0"/>
          <w:color w:val="000000" w:themeColor="text1"/>
          <w:spacing w:val="0"/>
          <w:kern w:val="2"/>
          <w:sz w:val="32"/>
          <w:szCs w:val="32"/>
          <w:u w:val="none"/>
          <w:shd w:val="clear" w:fill="FFFFFF"/>
          <w:vertAlign w:val="baseline"/>
          <w:lang w:val="en-US" w:eastAsia="zh-CN" w:bidi="ar-SA"/>
          <w14:textFill>
            <w14:solidFill>
              <w14:schemeClr w14:val="tx1"/>
            </w14:solidFill>
          </w14:textFill>
        </w:rPr>
        <w:t>。</w:t>
      </w:r>
      <w:r>
        <w:rPr>
          <w:rFonts w:hint="eastAsia" w:ascii="方正仿宋_GBK" w:hAnsi="方正仿宋_GBK" w:eastAsia="方正仿宋_GBK" w:cs="方正仿宋_GBK"/>
          <w:i w:val="0"/>
          <w:caps w:val="0"/>
          <w:color w:val="000000"/>
          <w:spacing w:val="0"/>
          <w:sz w:val="32"/>
          <w:szCs w:val="32"/>
          <w:shd w:val="clear" w:fill="FFFFFF"/>
          <w:lang w:val="en-US" w:eastAsia="zh-CN"/>
        </w:rPr>
        <w:t>现将具体信息公开如下：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1.2022</w:t>
      </w:r>
      <w:r>
        <w:rPr>
          <w:rFonts w:hint="eastAsia" w:ascii="方正仿宋_GBK" w:hAnsi="方正仿宋_GBK" w:eastAsia="方正仿宋_GBK" w:cs="方正仿宋_GBK"/>
          <w:i w:val="0"/>
          <w:caps w:val="0"/>
          <w:color w:val="000000"/>
          <w:spacing w:val="0"/>
          <w:sz w:val="32"/>
          <w:szCs w:val="32"/>
          <w:shd w:val="clear" w:fill="FFFFFF"/>
          <w:lang w:val="en-US" w:eastAsia="zh-CN"/>
        </w:rPr>
        <w:t>年第四季度喀什地区生态环境局疏勒县分局生态环境执法“双随机、一公开”抽查结果信息公开表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2.2022</w:t>
      </w:r>
      <w:r>
        <w:rPr>
          <w:rFonts w:hint="eastAsia" w:ascii="方正仿宋_GBK" w:hAnsi="方正仿宋_GBK" w:eastAsia="方正仿宋_GBK" w:cs="方正仿宋_GBK"/>
          <w:i w:val="0"/>
          <w:caps w:val="0"/>
          <w:color w:val="000000"/>
          <w:spacing w:val="0"/>
          <w:sz w:val="32"/>
          <w:szCs w:val="32"/>
          <w:shd w:val="clear" w:fill="FFFFFF"/>
          <w:lang w:val="en-US" w:eastAsia="zh-CN"/>
        </w:rPr>
        <w:t>年第四季度喀什地区生态环境局疏勒县分局生态环境执法“双随机、一公开”抽查执法人员信息公开表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3.疏勒县</w:t>
      </w:r>
      <w:r>
        <w:rPr>
          <w:rFonts w:hint="eastAsia" w:ascii="方正仿宋_GBK" w:hAnsi="方正仿宋_GBK" w:eastAsia="方正仿宋_GBK" w:cs="方正仿宋_GBK"/>
          <w:i w:val="0"/>
          <w:caps w:val="0"/>
          <w:color w:val="000000"/>
          <w:spacing w:val="0"/>
          <w:sz w:val="32"/>
          <w:szCs w:val="32"/>
          <w:shd w:val="clear" w:fill="FFFFFF"/>
          <w:lang w:val="en-US" w:eastAsia="zh-CN"/>
        </w:rPr>
        <w:t>污染源随机抽查检查情况说明</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p>
    <w:p>
      <w:pPr>
        <w:rPr>
          <w:rFonts w:hint="eastAsia"/>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br w:type="page"/>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r>
        <w:rPr>
          <w:rFonts w:hint="eastAsia" w:ascii="方正黑体" w:hAnsi="方正黑体" w:eastAsia="方正黑体" w:cs="方正黑体"/>
          <w:i w:val="0"/>
          <w:caps w:val="0"/>
          <w:color w:val="000000"/>
          <w:spacing w:val="0"/>
          <w:sz w:val="32"/>
          <w:szCs w:val="32"/>
          <w:shd w:val="clear" w:fill="FFFFFF"/>
          <w:lang w:val="en-US" w:eastAsia="zh-CN"/>
        </w:rPr>
        <w:t xml:space="preserve">表1 </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简体" w:hAnsi="方正小标宋简体" w:eastAsia="方正小标宋简体" w:cs="方正小标宋简体"/>
          <w:b/>
          <w:bCs/>
          <w:i w:val="0"/>
          <w:color w:val="000000"/>
          <w:kern w:val="0"/>
          <w:sz w:val="36"/>
          <w:szCs w:val="36"/>
          <w:u w:val="none"/>
          <w:lang w:val="en-US" w:eastAsia="zh-CN" w:bidi="ar"/>
        </w:rPr>
      </w:pPr>
      <w:r>
        <w:rPr>
          <w:rFonts w:hint="eastAsia" w:ascii="方正小标宋_GBK" w:hAnsi="方正小标宋_GBK" w:eastAsia="方正小标宋_GBK" w:cs="方正小标宋_GBK"/>
          <w:i w:val="0"/>
          <w:caps w:val="0"/>
          <w:color w:val="000000"/>
          <w:spacing w:val="0"/>
          <w:sz w:val="32"/>
          <w:szCs w:val="32"/>
          <w:shd w:val="clear" w:fill="FFFFFF"/>
          <w:lang w:val="en-US" w:eastAsia="zh-CN"/>
        </w:rPr>
        <w:t>2022年第四季度喀什地区生态环境局疏勒县分局生态环境执法“双随机、一公开”抽查结果信息公开表</w:t>
      </w:r>
    </w:p>
    <w:tbl>
      <w:tblPr>
        <w:tblStyle w:val="4"/>
        <w:tblW w:w="8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894"/>
        <w:gridCol w:w="2295"/>
        <w:gridCol w:w="1274"/>
        <w:gridCol w:w="1323"/>
        <w:gridCol w:w="672"/>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序号</w:t>
            </w:r>
          </w:p>
        </w:tc>
        <w:tc>
          <w:tcPr>
            <w:tcW w:w="894"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地区</w:t>
            </w:r>
          </w:p>
        </w:tc>
        <w:tc>
          <w:tcPr>
            <w:tcW w:w="2295"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污染源名称</w:t>
            </w:r>
          </w:p>
        </w:tc>
        <w:tc>
          <w:tcPr>
            <w:tcW w:w="1274"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污染源类型</w:t>
            </w:r>
          </w:p>
        </w:tc>
        <w:tc>
          <w:tcPr>
            <w:tcW w:w="1323"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时间</w:t>
            </w:r>
          </w:p>
        </w:tc>
        <w:tc>
          <w:tcPr>
            <w:tcW w:w="67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结果</w:t>
            </w:r>
          </w:p>
        </w:tc>
        <w:tc>
          <w:tcPr>
            <w:tcW w:w="1689"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情况</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auto"/>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1</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color w:val="auto"/>
                <w:lang w:val="en-US" w:eastAsia="zh-CN"/>
              </w:rPr>
            </w:pPr>
            <w:r>
              <w:rPr>
                <w:rFonts w:hint="eastAsia" w:ascii="宋体" w:hAnsi="宋体" w:eastAsia="宋体" w:cs="宋体"/>
                <w:i w:val="0"/>
                <w:iCs w:val="0"/>
                <w:color w:val="000000"/>
                <w:kern w:val="0"/>
                <w:sz w:val="22"/>
                <w:szCs w:val="22"/>
                <w:u w:val="none"/>
                <w:lang w:val="en-US" w:eastAsia="zh-CN" w:bidi="ar"/>
              </w:rPr>
              <w:t>疏勒县华鹰热能有限公司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323"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color w:val="auto"/>
                <w:lang w:val="en-US" w:eastAsia="zh-CN"/>
              </w:rPr>
            </w:pPr>
            <w:r>
              <w:rPr>
                <w:rFonts w:hint="eastAsia" w:ascii="宋体" w:hAnsi="宋体" w:eastAsia="宋体" w:cs="宋体"/>
                <w:i w:val="0"/>
                <w:iCs w:val="0"/>
                <w:color w:val="000000"/>
                <w:kern w:val="0"/>
                <w:sz w:val="22"/>
                <w:szCs w:val="22"/>
                <w:u w:val="none"/>
                <w:lang w:val="en-US" w:eastAsia="zh-CN" w:bidi="ar"/>
              </w:rPr>
              <w:t>2022-10-17</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停产中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default"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2</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lang w:val="en-US" w:eastAsia="zh-CN"/>
              </w:rPr>
            </w:pPr>
            <w:r>
              <w:rPr>
                <w:rFonts w:hint="eastAsia" w:ascii="宋体" w:hAnsi="宋体" w:eastAsia="宋体" w:cs="宋体"/>
                <w:i w:val="0"/>
                <w:iCs w:val="0"/>
                <w:color w:val="000000"/>
                <w:kern w:val="0"/>
                <w:sz w:val="22"/>
                <w:szCs w:val="22"/>
                <w:u w:val="none"/>
                <w:lang w:val="en-US" w:eastAsia="zh-CN" w:bidi="ar"/>
              </w:rPr>
              <w:t>喀什华兴供热有限责任公司疏勒县分公司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2022-10-17</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停产中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3</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color w:val="auto"/>
                <w:lang w:val="en-US" w:eastAsia="zh-CN"/>
              </w:rPr>
            </w:pPr>
            <w:r>
              <w:rPr>
                <w:rFonts w:hint="eastAsia" w:ascii="宋体" w:hAnsi="宋体" w:eastAsia="宋体" w:cs="宋体"/>
                <w:i w:val="0"/>
                <w:iCs w:val="0"/>
                <w:color w:val="000000"/>
                <w:kern w:val="0"/>
                <w:sz w:val="22"/>
                <w:szCs w:val="22"/>
                <w:u w:val="none"/>
                <w:lang w:val="en-US" w:eastAsia="zh-CN" w:bidi="ar"/>
              </w:rPr>
              <w:t>喀什华兴彩色包装有限公司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2022-10-21</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4</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color w:val="auto"/>
                <w:lang w:val="en-US" w:eastAsia="zh-CN"/>
              </w:rPr>
            </w:pPr>
            <w:r>
              <w:rPr>
                <w:rFonts w:hint="eastAsia" w:ascii="宋体" w:hAnsi="宋体" w:eastAsia="宋体" w:cs="宋体"/>
                <w:i w:val="0"/>
                <w:iCs w:val="0"/>
                <w:color w:val="000000"/>
                <w:kern w:val="0"/>
                <w:sz w:val="22"/>
                <w:szCs w:val="22"/>
                <w:u w:val="none"/>
                <w:lang w:val="en-US" w:eastAsia="zh-CN" w:bidi="ar"/>
              </w:rPr>
              <w:t>喀什巨盟化工有限公司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2022-10-21</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停产中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5</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color w:val="auto"/>
                <w:lang w:val="en-US" w:eastAsia="zh-CN"/>
              </w:rPr>
            </w:pPr>
            <w:r>
              <w:rPr>
                <w:rFonts w:hint="eastAsia" w:ascii="宋体" w:hAnsi="宋体" w:eastAsia="宋体" w:cs="宋体"/>
                <w:i w:val="0"/>
                <w:iCs w:val="0"/>
                <w:color w:val="000000"/>
                <w:kern w:val="0"/>
                <w:sz w:val="22"/>
                <w:szCs w:val="22"/>
                <w:u w:val="none"/>
                <w:lang w:val="en-US" w:eastAsia="zh-CN" w:bidi="ar"/>
              </w:rPr>
              <w:t>喀什昊运建筑材料有限责任公司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2022-10-21</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6</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color w:val="auto"/>
                <w:lang w:val="en-US" w:eastAsia="zh-CN"/>
              </w:rPr>
            </w:pPr>
            <w:r>
              <w:rPr>
                <w:rFonts w:hint="eastAsia" w:ascii="宋体" w:hAnsi="宋体" w:eastAsia="宋体" w:cs="宋体"/>
                <w:i w:val="0"/>
                <w:iCs w:val="0"/>
                <w:color w:val="000000"/>
                <w:kern w:val="0"/>
                <w:sz w:val="22"/>
                <w:szCs w:val="22"/>
                <w:u w:val="none"/>
                <w:lang w:val="en-US" w:eastAsia="zh-CN" w:bidi="ar"/>
              </w:rPr>
              <w:t>喀什恒利工贸有限责任公司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2022-11-24</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default"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7</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eastAsia" w:ascii="微软雅黑" w:hAnsi="微软雅黑" w:eastAsia="微软雅黑" w:cs="微软雅黑"/>
                <w:i w:val="0"/>
                <w:iCs w:val="0"/>
                <w:caps w:val="0"/>
                <w:color w:val="333333"/>
                <w:spacing w:val="0"/>
                <w:sz w:val="21"/>
                <w:szCs w:val="21"/>
                <w:shd w:val="clear" w:fill="FFFFFF"/>
              </w:rPr>
            </w:pPr>
            <w:r>
              <w:rPr>
                <w:rFonts w:hint="eastAsia" w:ascii="宋体" w:hAnsi="宋体" w:eastAsia="宋体" w:cs="宋体"/>
                <w:i w:val="0"/>
                <w:iCs w:val="0"/>
                <w:color w:val="000000"/>
                <w:kern w:val="0"/>
                <w:sz w:val="22"/>
                <w:szCs w:val="22"/>
                <w:u w:val="none"/>
                <w:lang w:val="en-US" w:eastAsia="zh-CN" w:bidi="ar"/>
              </w:rPr>
              <w:t>喀什蠡天建材有限公司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323" w:type="dxa"/>
            <w:shd w:val="clear" w:color="auto" w:fill="auto"/>
            <w:vAlign w:val="bottom"/>
          </w:tcPr>
          <w:p>
            <w:pPr>
              <w:keepNext w:val="0"/>
              <w:keepLines w:val="0"/>
              <w:widowControl/>
              <w:suppressLineNumbers w:val="0"/>
              <w:jc w:val="left"/>
              <w:textAlignment w:val="bottom"/>
              <w:rPr>
                <w:rFonts w:hint="eastAsia"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2022-11-25</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82" w:type="dxa"/>
            <w:shd w:val="clear" w:color="auto" w:fill="auto"/>
            <w:vAlign w:val="center"/>
          </w:tcPr>
          <w:p>
            <w:pPr>
              <w:jc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8</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color w:val="auto"/>
                <w:lang w:val="en-US" w:eastAsia="zh-CN"/>
              </w:rPr>
            </w:pPr>
            <w:r>
              <w:rPr>
                <w:rFonts w:hint="eastAsia" w:ascii="宋体" w:hAnsi="宋体" w:eastAsia="宋体" w:cs="宋体"/>
                <w:i w:val="0"/>
                <w:iCs w:val="0"/>
                <w:color w:val="000000"/>
                <w:kern w:val="0"/>
                <w:sz w:val="22"/>
                <w:szCs w:val="22"/>
                <w:u w:val="none"/>
                <w:lang w:val="en-US" w:eastAsia="zh-CN" w:bidi="ar"/>
              </w:rPr>
              <w:t>新疆鸿霖有机复合肥有限公司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2022-11-25</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长期停产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eastAsia"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9</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喀什宏盛能源科技有限公司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2022-11-25</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停产中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10</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新疆德源生物有限公司疏勒县单采血浆站</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2022-11-25</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11</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疏勒县新森水泥有限责任公司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2022-12-21</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color w:val="auto"/>
                <w:sz w:val="18"/>
                <w:szCs w:val="18"/>
                <w:lang w:val="en-US" w:eastAsia="zh-CN"/>
              </w:rPr>
              <w:t>停产中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12</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喀什华兴供热有限责任公司疏勒县分公司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323" w:type="dxa"/>
            <w:shd w:val="clear" w:color="auto" w:fill="auto"/>
            <w:vAlign w:val="bottom"/>
          </w:tcPr>
          <w:p>
            <w:pPr>
              <w:keepNext w:val="0"/>
              <w:keepLines w:val="0"/>
              <w:widowControl/>
              <w:suppressLineNumbers w:val="0"/>
              <w:jc w:val="left"/>
              <w:textAlignment w:val="bottom"/>
              <w:rPr>
                <w:rFonts w:hint="eastAsia"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2022-12-21</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13</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喀什金岭球团有限公司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323" w:type="dxa"/>
            <w:shd w:val="clear" w:color="auto" w:fill="auto"/>
            <w:vAlign w:val="bottom"/>
          </w:tcPr>
          <w:p>
            <w:pPr>
              <w:keepNext w:val="0"/>
              <w:keepLines w:val="0"/>
              <w:widowControl/>
              <w:suppressLineNumbers w:val="0"/>
              <w:jc w:val="left"/>
              <w:textAlignment w:val="bottom"/>
              <w:rPr>
                <w:rFonts w:hint="eastAsia"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2022-12-21</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color w:val="auto"/>
                <w:sz w:val="18"/>
                <w:szCs w:val="18"/>
                <w:lang w:val="en-US" w:eastAsia="zh-CN"/>
              </w:rPr>
              <w:t>停产中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14</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喀什宏盛能源科技有限公司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323" w:type="dxa"/>
            <w:shd w:val="clear" w:color="auto" w:fill="auto"/>
            <w:vAlign w:val="bottom"/>
          </w:tcPr>
          <w:p>
            <w:pPr>
              <w:keepNext w:val="0"/>
              <w:keepLines w:val="0"/>
              <w:widowControl/>
              <w:suppressLineNumbers w:val="0"/>
              <w:jc w:val="left"/>
              <w:textAlignment w:val="bottom"/>
              <w:rPr>
                <w:rFonts w:hint="eastAsia"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2022-12-21</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color w:val="auto"/>
                <w:sz w:val="18"/>
                <w:szCs w:val="18"/>
                <w:lang w:val="en-US" w:eastAsia="zh-CN"/>
              </w:rPr>
              <w:t>停产中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15</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喀什一腾新型建材有限公司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323" w:type="dxa"/>
            <w:shd w:val="clear" w:color="auto" w:fill="auto"/>
            <w:vAlign w:val="bottom"/>
          </w:tcPr>
          <w:p>
            <w:pPr>
              <w:keepNext w:val="0"/>
              <w:keepLines w:val="0"/>
              <w:widowControl/>
              <w:suppressLineNumbers w:val="0"/>
              <w:jc w:val="left"/>
              <w:textAlignment w:val="bottom"/>
              <w:rPr>
                <w:rFonts w:hint="default" w:ascii="Times New Roman" w:hAnsi="Times New Roman" w:eastAsia="方正仿宋_GBK" w:cs="Times New Roman"/>
                <w:color w:val="auto"/>
                <w:lang w:val="en-US" w:eastAsia="zh-CN"/>
              </w:rPr>
            </w:pPr>
            <w:r>
              <w:rPr>
                <w:rFonts w:hint="eastAsia" w:ascii="宋体" w:hAnsi="宋体" w:eastAsia="宋体" w:cs="宋体"/>
                <w:i w:val="0"/>
                <w:iCs w:val="0"/>
                <w:color w:val="000000"/>
                <w:kern w:val="0"/>
                <w:sz w:val="22"/>
                <w:szCs w:val="22"/>
                <w:u w:val="none"/>
                <w:lang w:val="en-US" w:eastAsia="zh-CN" w:bidi="ar"/>
              </w:rPr>
              <w:t>2022-12-21</w:t>
            </w:r>
          </w:p>
        </w:tc>
        <w:tc>
          <w:tcPr>
            <w:tcW w:w="6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color w:val="auto"/>
                <w:sz w:val="18"/>
                <w:szCs w:val="18"/>
                <w:lang w:val="en-US" w:eastAsia="zh-CN"/>
              </w:rPr>
              <w:t>停产中</w:t>
            </w:r>
          </w:p>
        </w:tc>
      </w:tr>
    </w:tbl>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0" w:firstLineChars="0"/>
        <w:jc w:val="left"/>
        <w:textAlignment w:val="auto"/>
        <w:outlineLvl w:val="9"/>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备注：1.企业类型：重点污染源、一般污染源、特殊监管对象</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630" w:firstLineChars="300"/>
        <w:jc w:val="left"/>
        <w:textAlignment w:val="auto"/>
        <w:outlineLvl w:val="9"/>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2.检查结果：正常、异常</w:t>
      </w:r>
    </w:p>
    <w:p>
      <w:pPr>
        <w:bidi w:val="0"/>
        <w:jc w:val="left"/>
        <w:rPr>
          <w:rFonts w:hint="eastAsia" w:ascii="方正黑体" w:hAnsi="方正黑体" w:eastAsia="方正黑体" w:cs="方正黑体"/>
          <w:i w:val="0"/>
          <w:caps w:val="0"/>
          <w:color w:val="000000"/>
          <w:spacing w:val="0"/>
          <w:sz w:val="32"/>
          <w:szCs w:val="32"/>
          <w:shd w:val="clear" w:fill="FFFFFF"/>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 xml:space="preserve">      3.情况说明：对存在异常结果的进行具体说明</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r>
        <w:rPr>
          <w:rFonts w:hint="eastAsia" w:ascii="方正黑体" w:hAnsi="方正黑体" w:eastAsia="方正黑体" w:cs="方正黑体"/>
          <w:i w:val="0"/>
          <w:caps w:val="0"/>
          <w:color w:val="000000"/>
          <w:spacing w:val="0"/>
          <w:sz w:val="32"/>
          <w:szCs w:val="32"/>
          <w:shd w:val="clear" w:fill="FFFFFF"/>
          <w:lang w:val="en-US" w:eastAsia="zh-CN"/>
        </w:rPr>
        <w:t>表2</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_GBK" w:hAnsi="方正小标宋_GBK" w:eastAsia="方正小标宋_GBK" w:cs="方正小标宋_GBK"/>
          <w:b/>
          <w:bCs/>
          <w:i w:val="0"/>
          <w:color w:val="000000"/>
          <w:kern w:val="0"/>
          <w:sz w:val="36"/>
          <w:szCs w:val="36"/>
          <w:u w:val="none"/>
          <w:lang w:val="en-US" w:eastAsia="zh-CN" w:bidi="ar"/>
        </w:rPr>
      </w:pPr>
      <w:r>
        <w:rPr>
          <w:rFonts w:hint="eastAsia" w:ascii="方正小标宋_GBK" w:hAnsi="方正小标宋_GBK" w:eastAsia="方正小标宋_GBK" w:cs="方正小标宋_GBK"/>
          <w:i w:val="0"/>
          <w:caps w:val="0"/>
          <w:color w:val="000000"/>
          <w:spacing w:val="0"/>
          <w:sz w:val="32"/>
          <w:szCs w:val="32"/>
          <w:shd w:val="clear" w:fill="FFFFFF"/>
          <w:lang w:val="en-US" w:eastAsia="zh-CN"/>
        </w:rPr>
        <w:t xml:space="preserve"> 2022年第四季度喀什地区生态环境局疏勒县分局生态环境执法“双随机、一公开”抽查执法人员信息公开表</w:t>
      </w:r>
    </w:p>
    <w:tbl>
      <w:tblPr>
        <w:tblStyle w:val="4"/>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45"/>
        <w:gridCol w:w="1743"/>
        <w:gridCol w:w="1692"/>
        <w:gridCol w:w="1126"/>
        <w:gridCol w:w="111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83"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序号</w:t>
            </w:r>
          </w:p>
        </w:tc>
        <w:tc>
          <w:tcPr>
            <w:tcW w:w="1245"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姓名</w:t>
            </w:r>
          </w:p>
        </w:tc>
        <w:tc>
          <w:tcPr>
            <w:tcW w:w="1743"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单位</w:t>
            </w:r>
          </w:p>
        </w:tc>
        <w:tc>
          <w:tcPr>
            <w:tcW w:w="169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科室</w:t>
            </w:r>
          </w:p>
        </w:tc>
        <w:tc>
          <w:tcPr>
            <w:tcW w:w="1126"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职务</w:t>
            </w:r>
          </w:p>
        </w:tc>
        <w:tc>
          <w:tcPr>
            <w:tcW w:w="1118"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执法证号</w:t>
            </w:r>
          </w:p>
        </w:tc>
        <w:tc>
          <w:tcPr>
            <w:tcW w:w="1766"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抽查时间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3" w:type="dxa"/>
            <w:shd w:val="clear" w:color="auto" w:fill="auto"/>
            <w:vAlign w:val="center"/>
          </w:tcPr>
          <w:p>
            <w:pPr>
              <w:jc w:val="center"/>
              <w:rPr>
                <w:rFonts w:hint="eastAsia" w:ascii="方正仿宋_GBK" w:hAnsi="方正仿宋_GBK" w:eastAsia="方正仿宋_GBK" w:cs="方正仿宋_GBK"/>
                <w:b w:val="0"/>
                <w:bCs/>
                <w:i w:val="0"/>
                <w:color w:val="000000"/>
                <w:sz w:val="21"/>
                <w:szCs w:val="21"/>
                <w:u w:val="none"/>
                <w:lang w:val="en-US" w:eastAsia="zh-CN"/>
              </w:rPr>
            </w:pPr>
            <w:r>
              <w:rPr>
                <w:rFonts w:hint="eastAsia" w:ascii="方正仿宋_GBK" w:hAnsi="方正仿宋_GBK" w:eastAsia="方正仿宋_GBK" w:cs="方正仿宋_GBK"/>
                <w:b w:val="0"/>
                <w:bCs/>
                <w:i w:val="0"/>
                <w:color w:val="000000"/>
                <w:sz w:val="21"/>
                <w:szCs w:val="21"/>
                <w:u w:val="none"/>
                <w:lang w:val="en-US" w:eastAsia="zh-CN"/>
              </w:rPr>
              <w:t>1</w:t>
            </w:r>
          </w:p>
        </w:tc>
        <w:tc>
          <w:tcPr>
            <w:tcW w:w="1245"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刘圣斌</w:t>
            </w:r>
          </w:p>
        </w:tc>
        <w:tc>
          <w:tcPr>
            <w:tcW w:w="17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喀什地区生态环境局疏勒县分局</w:t>
            </w:r>
          </w:p>
        </w:tc>
        <w:tc>
          <w:tcPr>
            <w:tcW w:w="1692"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综合行政</w:t>
            </w:r>
          </w:p>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i w:val="0"/>
                <w:caps w:val="0"/>
                <w:color w:val="000000"/>
                <w:spacing w:val="0"/>
                <w:sz w:val="21"/>
                <w:szCs w:val="21"/>
                <w:shd w:val="clear" w:fill="FFFFFF"/>
                <w:lang w:val="en-US" w:eastAsia="zh-CN"/>
              </w:rPr>
              <w:t>执法大队</w:t>
            </w:r>
          </w:p>
        </w:tc>
        <w:tc>
          <w:tcPr>
            <w:tcW w:w="112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大队长</w:t>
            </w:r>
          </w:p>
        </w:tc>
        <w:tc>
          <w:tcPr>
            <w:tcW w:w="11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Q030009</w:t>
            </w:r>
          </w:p>
        </w:tc>
        <w:tc>
          <w:tcPr>
            <w:tcW w:w="176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vertAlign w:val="baseline"/>
                <w:lang w:val="en-US" w:eastAsia="zh-CN" w:bidi="ar"/>
              </w:rPr>
            </w:pPr>
            <w:r>
              <w:rPr>
                <w:rFonts w:hint="eastAsia" w:ascii="方正仿宋_GBK" w:hAnsi="方正仿宋_GBK" w:eastAsia="方正仿宋_GBK" w:cs="方正仿宋_GBK"/>
                <w:i w:val="0"/>
                <w:color w:val="000000"/>
                <w:kern w:val="0"/>
                <w:sz w:val="21"/>
                <w:szCs w:val="21"/>
                <w:u w:val="none"/>
                <w:vertAlign w:val="baseline"/>
                <w:lang w:val="en-US" w:eastAsia="zh-CN" w:bidi="ar"/>
              </w:rPr>
              <w:t>2022年10月-12月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3" w:type="dxa"/>
            <w:shd w:val="clear" w:color="auto" w:fill="auto"/>
            <w:vAlign w:val="center"/>
          </w:tcPr>
          <w:p>
            <w:pPr>
              <w:jc w:val="center"/>
              <w:rPr>
                <w:rFonts w:hint="eastAsia" w:ascii="方正仿宋_GBK" w:hAnsi="方正仿宋_GBK" w:eastAsia="方正仿宋_GBK" w:cs="方正仿宋_GBK"/>
                <w:b w:val="0"/>
                <w:bCs/>
                <w:i w:val="0"/>
                <w:color w:val="000000"/>
                <w:sz w:val="21"/>
                <w:szCs w:val="21"/>
                <w:u w:val="none"/>
                <w:lang w:val="en-US" w:eastAsia="zh-CN"/>
              </w:rPr>
            </w:pPr>
            <w:r>
              <w:rPr>
                <w:rFonts w:hint="eastAsia" w:ascii="方正仿宋_GBK" w:hAnsi="方正仿宋_GBK" w:eastAsia="方正仿宋_GBK" w:cs="方正仿宋_GBK"/>
                <w:b w:val="0"/>
                <w:bCs/>
                <w:i w:val="0"/>
                <w:color w:val="000000"/>
                <w:sz w:val="21"/>
                <w:szCs w:val="21"/>
                <w:u w:val="none"/>
                <w:lang w:val="en-US" w:eastAsia="zh-CN"/>
              </w:rPr>
              <w:t>2</w:t>
            </w:r>
          </w:p>
        </w:tc>
        <w:tc>
          <w:tcPr>
            <w:tcW w:w="1245"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郑刚</w:t>
            </w:r>
          </w:p>
        </w:tc>
        <w:tc>
          <w:tcPr>
            <w:tcW w:w="17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喀什地区生态环境局疏勒县分局</w:t>
            </w:r>
          </w:p>
        </w:tc>
        <w:tc>
          <w:tcPr>
            <w:tcW w:w="1692"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综合行政</w:t>
            </w:r>
          </w:p>
          <w:p>
            <w:pPr>
              <w:keepNext w:val="0"/>
              <w:keepLines w:val="0"/>
              <w:widowControl/>
              <w:suppressLineNumbers w:val="0"/>
              <w:jc w:val="center"/>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aps w:val="0"/>
                <w:color w:val="000000"/>
                <w:spacing w:val="0"/>
                <w:sz w:val="21"/>
                <w:szCs w:val="21"/>
                <w:shd w:val="clear" w:fill="FFFFFF"/>
                <w:lang w:val="en-US" w:eastAsia="zh-CN"/>
              </w:rPr>
              <w:t>执法大队</w:t>
            </w:r>
          </w:p>
        </w:tc>
        <w:tc>
          <w:tcPr>
            <w:tcW w:w="1126"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三级主任科员</w:t>
            </w:r>
          </w:p>
        </w:tc>
        <w:tc>
          <w:tcPr>
            <w:tcW w:w="11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Q030005</w:t>
            </w:r>
          </w:p>
        </w:tc>
        <w:tc>
          <w:tcPr>
            <w:tcW w:w="176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vertAlign w:val="baseline"/>
                <w:lang w:val="en-US" w:eastAsia="zh-CN" w:bidi="ar"/>
              </w:rPr>
              <w:t>2022年10月-12月</w:t>
            </w:r>
          </w:p>
        </w:tc>
      </w:tr>
    </w:tbl>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olor w:val="000000"/>
          <w:kern w:val="0"/>
          <w:sz w:val="21"/>
          <w:szCs w:val="21"/>
          <w:u w:val="none"/>
          <w:lang w:val="en-US" w:eastAsia="zh-CN" w:bidi="ar"/>
        </w:rPr>
      </w:pPr>
      <w:bookmarkStart w:id="0" w:name="_GoBack"/>
      <w:bookmarkEnd w:id="0"/>
      <w:r>
        <w:rPr>
          <w:rFonts w:hint="eastAsia" w:ascii="方正黑体" w:hAnsi="方正黑体" w:eastAsia="方正黑体" w:cs="方正黑体"/>
          <w:i w:val="0"/>
          <w:caps w:val="0"/>
          <w:color w:val="000000"/>
          <w:spacing w:val="0"/>
          <w:sz w:val="32"/>
          <w:szCs w:val="32"/>
          <w:shd w:val="clear" w:fill="FFFFFF"/>
          <w:lang w:val="en-US" w:eastAsia="zh-CN"/>
        </w:rPr>
        <w:t>表3</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_GBK" w:hAnsi="方正小标宋_GBK" w:eastAsia="方正小标宋_GBK" w:cs="方正小标宋_GBK"/>
          <w:i w:val="0"/>
          <w:color w:val="000000"/>
          <w:kern w:val="0"/>
          <w:sz w:val="32"/>
          <w:szCs w:val="32"/>
          <w:u w:val="none"/>
          <w:lang w:val="en-US" w:eastAsia="zh-CN" w:bidi="ar"/>
        </w:rPr>
      </w:pPr>
      <w:r>
        <w:rPr>
          <w:rFonts w:hint="eastAsia" w:ascii="方正小标宋_GBK" w:hAnsi="方正小标宋_GBK" w:eastAsia="方正小标宋_GBK" w:cs="方正小标宋_GBK"/>
          <w:i w:val="0"/>
          <w:color w:val="000000"/>
          <w:kern w:val="0"/>
          <w:sz w:val="32"/>
          <w:szCs w:val="32"/>
          <w:u w:val="none"/>
          <w:lang w:val="en-US" w:eastAsia="zh-CN" w:bidi="ar"/>
        </w:rPr>
        <w:t>疏勒县污染源随机抽查检查情况说明</w:t>
      </w:r>
    </w:p>
    <w:tbl>
      <w:tblPr>
        <w:tblStyle w:val="4"/>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820"/>
        <w:gridCol w:w="288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788"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序号</w:t>
            </w:r>
          </w:p>
        </w:tc>
        <w:tc>
          <w:tcPr>
            <w:tcW w:w="282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企业名称</w:t>
            </w:r>
          </w:p>
        </w:tc>
        <w:tc>
          <w:tcPr>
            <w:tcW w:w="288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存在问题</w:t>
            </w:r>
          </w:p>
        </w:tc>
        <w:tc>
          <w:tcPr>
            <w:tcW w:w="240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疏勒县华鹰热能有限公司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喀什华兴供热有限责任公司疏勒县分公司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3</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喀什华兴彩色包装有限公司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4</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喀什巨盟化工有限公司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加强日常环保设施维护巡视，确保自动在线设备正常运行，加强日常安全生产培训工作。</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5</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喀什昊运建筑材料有限责任公司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6</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喀什恒利工贸有限责任公司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7</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喀什蠡天建材有限公司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8</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新疆鸿霖有机复合肥有限公司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9</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喀什宏盛能源科技有限公司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color w:val="auto"/>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10</w:t>
            </w:r>
          </w:p>
        </w:tc>
        <w:tc>
          <w:tcPr>
            <w:tcW w:w="2820" w:type="dxa"/>
            <w:vAlign w:val="bottom"/>
          </w:tcPr>
          <w:p>
            <w:pPr>
              <w:keepNext w:val="0"/>
              <w:keepLines w:val="0"/>
              <w:widowControl/>
              <w:suppressLineNumbers w:val="0"/>
              <w:jc w:val="left"/>
              <w:textAlignment w:val="bottom"/>
              <w:rPr>
                <w:rFonts w:hint="eastAsia" w:ascii="方正仿宋_GBK" w:hAnsi="方正仿宋_GBK" w:eastAsia="方正仿宋_GBK" w:cs="方正仿宋_GBK"/>
                <w:color w:val="auto"/>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新疆德源生物有限公司疏勒县单采血浆站</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11</w:t>
            </w:r>
          </w:p>
        </w:tc>
        <w:tc>
          <w:tcPr>
            <w:tcW w:w="2820" w:type="dxa"/>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疏勒县新森水泥有限责任公司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12</w:t>
            </w:r>
          </w:p>
        </w:tc>
        <w:tc>
          <w:tcPr>
            <w:tcW w:w="2820" w:type="dxa"/>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喀什华兴供热有限责任公司疏勒县分公司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加强日常环保设施维护巡视，确保自动在线设备正常运行，加强日常安全生产培训工作。</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13</w:t>
            </w:r>
          </w:p>
        </w:tc>
        <w:tc>
          <w:tcPr>
            <w:tcW w:w="2820" w:type="dxa"/>
            <w:vAlign w:val="bottom"/>
          </w:tcPr>
          <w:p>
            <w:pPr>
              <w:keepNext w:val="0"/>
              <w:keepLines w:val="0"/>
              <w:widowControl/>
              <w:suppressLineNumbers w:val="0"/>
              <w:jc w:val="left"/>
              <w:textAlignment w:val="bottom"/>
              <w:rPr>
                <w:rFonts w:hint="default" w:ascii="方正仿宋_GBK" w:hAnsi="方正仿宋_GBK" w:eastAsia="方正仿宋_GBK" w:cs="方正仿宋_GBK"/>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喀什金岭球团有限公司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14</w:t>
            </w:r>
          </w:p>
        </w:tc>
        <w:tc>
          <w:tcPr>
            <w:tcW w:w="2820" w:type="dxa"/>
            <w:vAlign w:val="bottom"/>
          </w:tcPr>
          <w:p>
            <w:pPr>
              <w:keepNext w:val="0"/>
              <w:keepLines w:val="0"/>
              <w:widowControl/>
              <w:suppressLineNumbers w:val="0"/>
              <w:jc w:val="left"/>
              <w:textAlignment w:val="bottom"/>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olor w:val="000000"/>
                <w:kern w:val="0"/>
                <w:sz w:val="22"/>
                <w:szCs w:val="22"/>
                <w:u w:val="none"/>
                <w:lang w:val="en-US" w:eastAsia="zh-CN" w:bidi="ar"/>
              </w:rPr>
              <w:t>喀什宏盛能源科技有限公司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15</w:t>
            </w:r>
          </w:p>
        </w:tc>
        <w:tc>
          <w:tcPr>
            <w:tcW w:w="2820" w:type="dxa"/>
            <w:vAlign w:val="bottom"/>
          </w:tcPr>
          <w:p>
            <w:pPr>
              <w:keepNext w:val="0"/>
              <w:keepLines w:val="0"/>
              <w:widowControl/>
              <w:suppressLineNumbers w:val="0"/>
              <w:jc w:val="left"/>
              <w:textAlignment w:val="bottom"/>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olor w:val="000000"/>
                <w:kern w:val="0"/>
                <w:sz w:val="22"/>
                <w:szCs w:val="22"/>
                <w:u w:val="none"/>
                <w:lang w:val="en-US" w:eastAsia="zh-CN" w:bidi="ar"/>
              </w:rPr>
              <w:t>喀什一腾新型建材有限公司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bl>
    <w:p/>
    <w:sectPr>
      <w:pgSz w:w="11906" w:h="16838"/>
      <w:pgMar w:top="1984" w:right="1531" w:bottom="1701" w:left="153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
    <w:altName w:val="黑体"/>
    <w:panose1 w:val="03000502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YzFmYmVlYmE3Y2FiZTRkMjg2ZTNhOWY1OGFlZTkifQ=="/>
  </w:docVars>
  <w:rsids>
    <w:rsidRoot w:val="522C12F1"/>
    <w:rsid w:val="21D7109F"/>
    <w:rsid w:val="25A51EC6"/>
    <w:rsid w:val="2F460B4D"/>
    <w:rsid w:val="501A0DFD"/>
    <w:rsid w:val="522C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1295</Words>
  <Characters>1496</Characters>
  <Lines>0</Lines>
  <Paragraphs>0</Paragraphs>
  <TotalTime>2</TotalTime>
  <ScaleCrop>false</ScaleCrop>
  <LinksUpToDate>false</LinksUpToDate>
  <CharactersWithSpaces>1504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2022-07-06T08:24:00Z</dcterms:created>
  <dc:creator>Administrator</dc:creator>
  <cp:lastModifiedBy>Administrator</cp:lastModifiedBy>
  <cp:lastPrinted>2022-12-28T03:47:05Z</cp:lastPrinted>
  <dcterms:modified xsi:type="dcterms:W3CDTF">2022-12-28T03:47:58Z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41BC5D4170834869A6D68019D8A73F2D</vt:lpwstr>
  </property>
</Properties>
</file>