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159" w:rsidRDefault="00242159">
      <w:pPr>
        <w:jc w:val="center"/>
        <w:rPr>
          <w:rFonts w:ascii="方正小标宋_GBK" w:eastAsia="方正小标宋_GBK" w:hAnsi="宋体"/>
          <w:sz w:val="44"/>
          <w:szCs w:val="44"/>
        </w:rPr>
      </w:pPr>
    </w:p>
    <w:p w:rsidR="00242159" w:rsidRDefault="00242159">
      <w:pPr>
        <w:jc w:val="center"/>
        <w:rPr>
          <w:rFonts w:ascii="方正小标宋_GBK" w:eastAsia="方正小标宋_GBK" w:hAnsi="宋体"/>
          <w:sz w:val="44"/>
          <w:szCs w:val="44"/>
        </w:rPr>
      </w:pPr>
    </w:p>
    <w:p w:rsidR="00242159" w:rsidRDefault="00242159">
      <w:pPr>
        <w:jc w:val="center"/>
        <w:rPr>
          <w:rFonts w:ascii="方正小标宋_GBK" w:eastAsia="方正小标宋_GBK" w:hAnsi="宋体"/>
          <w:sz w:val="44"/>
          <w:szCs w:val="44"/>
        </w:rPr>
      </w:pPr>
    </w:p>
    <w:p w:rsidR="00242159" w:rsidRDefault="00242159">
      <w:pPr>
        <w:jc w:val="center"/>
        <w:rPr>
          <w:rFonts w:ascii="方正小标宋_GBK" w:eastAsia="方正小标宋_GBK" w:hAnsi="宋体"/>
          <w:sz w:val="44"/>
          <w:szCs w:val="44"/>
        </w:rPr>
      </w:pPr>
    </w:p>
    <w:p w:rsidR="00242159" w:rsidRDefault="00DC1F26">
      <w:pPr>
        <w:jc w:val="center"/>
        <w:rPr>
          <w:rFonts w:ascii="方正小标宋_GBK" w:eastAsia="方正小标宋_GBK" w:hAnsi="宋体"/>
          <w:sz w:val="44"/>
          <w:szCs w:val="44"/>
        </w:rPr>
      </w:pPr>
      <w:r>
        <w:rPr>
          <w:rFonts w:ascii="方正小标宋_GBK" w:eastAsia="方正小标宋_GBK" w:hAnsi="宋体" w:hint="eastAsia"/>
          <w:sz w:val="44"/>
          <w:szCs w:val="44"/>
        </w:rPr>
        <w:t>新疆喀什地区疏勒县自然资源局2020年度部门决算公开说明</w:t>
      </w:r>
    </w:p>
    <w:p w:rsidR="00242159" w:rsidRDefault="00DC1F26">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lastRenderedPageBreak/>
        <w:t>目  录</w:t>
      </w:r>
    </w:p>
    <w:p w:rsidR="00242159" w:rsidRDefault="00051886">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DC1F26">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DC1F26">
          <w:rPr>
            <w:rFonts w:ascii="仿宋_GB2312" w:eastAsia="仿宋_GB2312" w:hAnsi="仿宋_GB2312" w:cs="仿宋_GB2312" w:hint="eastAsia"/>
            <w:b/>
            <w:bCs/>
            <w:sz w:val="32"/>
            <w:szCs w:val="32"/>
          </w:rPr>
          <w:t>第一部分 部门单位概况</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30567" w:history="1">
        <w:r w:rsidR="00DC1F26">
          <w:rPr>
            <w:rFonts w:ascii="仿宋_GB2312" w:eastAsia="仿宋_GB2312" w:hAnsi="仿宋_GB2312" w:cs="仿宋_GB2312" w:hint="eastAsia"/>
            <w:bCs/>
            <w:kern w:val="0"/>
            <w:sz w:val="32"/>
            <w:szCs w:val="32"/>
          </w:rPr>
          <w:t>一、主要职能</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2151" w:history="1">
        <w:r w:rsidR="00DC1F26">
          <w:rPr>
            <w:rFonts w:ascii="仿宋_GB2312" w:eastAsia="仿宋_GB2312" w:hAnsi="仿宋_GB2312" w:cs="仿宋_GB2312" w:hint="eastAsia"/>
            <w:bCs/>
            <w:kern w:val="0"/>
            <w:sz w:val="32"/>
            <w:szCs w:val="32"/>
          </w:rPr>
          <w:t>二、机构设置及人员情况</w:t>
        </w:r>
      </w:hyperlink>
    </w:p>
    <w:p w:rsidR="00242159" w:rsidRDefault="00051886">
      <w:pPr>
        <w:pStyle w:val="1"/>
        <w:tabs>
          <w:tab w:val="right" w:pos="8306"/>
        </w:tabs>
        <w:rPr>
          <w:rFonts w:ascii="仿宋_GB2312" w:eastAsia="仿宋_GB2312" w:hAnsi="仿宋_GB2312" w:cs="仿宋_GB2312"/>
          <w:b/>
          <w:bCs/>
          <w:sz w:val="32"/>
          <w:szCs w:val="32"/>
        </w:rPr>
      </w:pPr>
      <w:hyperlink w:anchor="_Toc29374" w:history="1">
        <w:r w:rsidR="00DC1F26">
          <w:rPr>
            <w:rFonts w:ascii="仿宋_GB2312" w:eastAsia="仿宋_GB2312" w:hAnsi="仿宋_GB2312" w:cs="仿宋_GB2312" w:hint="eastAsia"/>
            <w:b/>
            <w:bCs/>
            <w:sz w:val="32"/>
            <w:szCs w:val="32"/>
          </w:rPr>
          <w:t>第二部分 部门决算情况说明</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25314" w:history="1">
        <w:r w:rsidR="00DC1F26">
          <w:rPr>
            <w:rFonts w:ascii="仿宋_GB2312" w:eastAsia="仿宋_GB2312" w:hAnsi="仿宋_GB2312" w:cs="仿宋_GB2312" w:hint="eastAsia"/>
            <w:bCs/>
            <w:kern w:val="0"/>
            <w:sz w:val="32"/>
            <w:szCs w:val="32"/>
          </w:rPr>
          <w:t>一、收入支出决算总体情况说明</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12142" w:history="1">
        <w:r w:rsidR="00DC1F26">
          <w:rPr>
            <w:rFonts w:ascii="仿宋_GB2312" w:eastAsia="仿宋_GB2312" w:hAnsi="仿宋_GB2312" w:cs="仿宋_GB2312" w:hint="eastAsia"/>
            <w:bCs/>
            <w:kern w:val="0"/>
            <w:sz w:val="32"/>
            <w:szCs w:val="32"/>
          </w:rPr>
          <w:t>二、收入决算情况说明</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13201" w:history="1">
        <w:r w:rsidR="00DC1F26">
          <w:rPr>
            <w:rFonts w:ascii="仿宋_GB2312" w:eastAsia="仿宋_GB2312" w:hAnsi="仿宋_GB2312" w:cs="仿宋_GB2312" w:hint="eastAsia"/>
            <w:bCs/>
            <w:kern w:val="0"/>
            <w:sz w:val="32"/>
            <w:szCs w:val="32"/>
          </w:rPr>
          <w:t>三、支出决算情况说明</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26564" w:history="1">
        <w:r w:rsidR="00DC1F26">
          <w:rPr>
            <w:rFonts w:ascii="仿宋_GB2312" w:eastAsia="仿宋_GB2312" w:hAnsi="仿宋_GB2312" w:cs="仿宋_GB2312" w:hint="eastAsia"/>
            <w:bCs/>
            <w:kern w:val="0"/>
            <w:sz w:val="32"/>
            <w:szCs w:val="32"/>
          </w:rPr>
          <w:t>四、财政拨款收入支出决算总体情况说明</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20360" w:history="1">
        <w:r w:rsidR="00DC1F26">
          <w:rPr>
            <w:rFonts w:ascii="仿宋_GB2312" w:eastAsia="仿宋_GB2312" w:hAnsi="仿宋_GB2312" w:cs="仿宋_GB2312" w:hint="eastAsia"/>
            <w:bCs/>
            <w:kern w:val="0"/>
            <w:sz w:val="32"/>
            <w:szCs w:val="32"/>
          </w:rPr>
          <w:t>五、一般公共预算财政拨款支出决算情况说明</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30870" w:history="1">
        <w:r w:rsidR="00DC1F26">
          <w:rPr>
            <w:rFonts w:ascii="仿宋_GB2312" w:eastAsia="仿宋_GB2312" w:hAnsi="仿宋_GB2312" w:cs="仿宋_GB2312" w:hint="eastAsia"/>
            <w:bCs/>
            <w:kern w:val="0"/>
            <w:sz w:val="32"/>
            <w:szCs w:val="32"/>
          </w:rPr>
          <w:t>六、一般公共预算财政拨款基本支出决算情况说明</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21518" w:history="1">
        <w:r w:rsidR="00DC1F26">
          <w:rPr>
            <w:rFonts w:ascii="仿宋_GB2312" w:eastAsia="仿宋_GB2312" w:hAnsi="仿宋_GB2312" w:cs="仿宋_GB2312" w:hint="eastAsia"/>
            <w:bCs/>
            <w:kern w:val="0"/>
            <w:sz w:val="32"/>
            <w:szCs w:val="32"/>
          </w:rPr>
          <w:t>七、一般公共预算财政拨款“三公”经费支出决算情况说明</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5810" w:history="1">
        <w:r w:rsidR="00DC1F26">
          <w:rPr>
            <w:rFonts w:ascii="仿宋_GB2312" w:eastAsia="仿宋_GB2312" w:hAnsi="仿宋_GB2312" w:cs="仿宋_GB2312" w:hint="eastAsia"/>
            <w:bCs/>
            <w:kern w:val="0"/>
            <w:sz w:val="32"/>
            <w:szCs w:val="32"/>
          </w:rPr>
          <w:t>八、政府性基金预算财政拨款收入支出决算情况说明</w:t>
        </w:r>
      </w:hyperlink>
    </w:p>
    <w:p w:rsidR="00242159" w:rsidRDefault="00051886">
      <w:hyperlink w:anchor="_Toc5810" w:history="1">
        <w:r w:rsidR="00DC1F26">
          <w:rPr>
            <w:rFonts w:ascii="仿宋_GB2312" w:eastAsia="仿宋_GB2312" w:hAnsi="仿宋_GB2312" w:cs="仿宋_GB2312" w:hint="eastAsia"/>
            <w:bCs/>
            <w:kern w:val="0"/>
            <w:sz w:val="32"/>
            <w:szCs w:val="32"/>
          </w:rPr>
          <w:t>九、国有资本经营预算财政拨款收入支出决算情况说明</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1235" w:history="1">
        <w:r w:rsidR="00DC1F26">
          <w:rPr>
            <w:rFonts w:ascii="仿宋_GB2312" w:eastAsia="仿宋_GB2312" w:hAnsi="仿宋_GB2312" w:cs="仿宋_GB2312" w:hint="eastAsia"/>
            <w:sz w:val="32"/>
            <w:szCs w:val="32"/>
          </w:rPr>
          <w:t>十</w:t>
        </w:r>
        <w:r w:rsidR="00DC1F26">
          <w:rPr>
            <w:rFonts w:ascii="仿宋_GB2312" w:eastAsia="仿宋_GB2312" w:hAnsi="仿宋_GB2312" w:cs="仿宋_GB2312" w:hint="eastAsia"/>
            <w:bCs/>
            <w:kern w:val="0"/>
            <w:sz w:val="32"/>
            <w:szCs w:val="32"/>
          </w:rPr>
          <w:t>、其他重要事项的情况说明</w:t>
        </w:r>
      </w:hyperlink>
    </w:p>
    <w:p w:rsidR="00242159" w:rsidRDefault="00051886">
      <w:pPr>
        <w:pStyle w:val="3"/>
        <w:tabs>
          <w:tab w:val="right" w:pos="8306"/>
        </w:tabs>
        <w:ind w:leftChars="0" w:left="0"/>
        <w:rPr>
          <w:rFonts w:ascii="仿宋_GB2312" w:eastAsia="仿宋_GB2312" w:hAnsi="仿宋_GB2312" w:cs="仿宋_GB2312"/>
          <w:sz w:val="32"/>
          <w:szCs w:val="32"/>
        </w:rPr>
      </w:pPr>
      <w:hyperlink w:anchor="_Toc14519" w:history="1">
        <w:r w:rsidR="00DC1F26">
          <w:rPr>
            <w:rFonts w:ascii="仿宋_GB2312" w:eastAsia="仿宋_GB2312" w:hAnsi="仿宋_GB2312" w:cs="仿宋_GB2312" w:hint="eastAsia"/>
            <w:sz w:val="32"/>
            <w:szCs w:val="32"/>
          </w:rPr>
          <w:t>（一）机关运行经费支出情况</w:t>
        </w:r>
      </w:hyperlink>
    </w:p>
    <w:p w:rsidR="00242159" w:rsidRDefault="00051886">
      <w:pPr>
        <w:pStyle w:val="3"/>
        <w:tabs>
          <w:tab w:val="right" w:pos="8306"/>
        </w:tabs>
        <w:ind w:leftChars="0" w:left="0"/>
        <w:rPr>
          <w:rFonts w:ascii="仿宋_GB2312" w:eastAsia="仿宋_GB2312" w:hAnsi="仿宋_GB2312" w:cs="仿宋_GB2312"/>
          <w:sz w:val="32"/>
          <w:szCs w:val="32"/>
        </w:rPr>
      </w:pPr>
      <w:hyperlink w:anchor="_Toc227" w:history="1">
        <w:r w:rsidR="00DC1F26">
          <w:rPr>
            <w:rFonts w:ascii="仿宋_GB2312" w:eastAsia="仿宋_GB2312" w:hAnsi="仿宋_GB2312" w:cs="仿宋_GB2312" w:hint="eastAsia"/>
            <w:sz w:val="32"/>
            <w:szCs w:val="32"/>
          </w:rPr>
          <w:t>（二）政府采购情况</w:t>
        </w:r>
      </w:hyperlink>
    </w:p>
    <w:p w:rsidR="00242159" w:rsidRDefault="00051886">
      <w:pPr>
        <w:pStyle w:val="3"/>
        <w:tabs>
          <w:tab w:val="right" w:pos="8306"/>
        </w:tabs>
        <w:ind w:leftChars="0" w:left="0"/>
        <w:rPr>
          <w:rFonts w:ascii="仿宋_GB2312" w:eastAsia="仿宋_GB2312" w:hAnsi="仿宋_GB2312" w:cs="仿宋_GB2312"/>
          <w:sz w:val="32"/>
          <w:szCs w:val="32"/>
        </w:rPr>
      </w:pPr>
      <w:hyperlink w:anchor="_Toc8391" w:history="1">
        <w:r w:rsidR="00DC1F26">
          <w:rPr>
            <w:rFonts w:ascii="仿宋_GB2312" w:eastAsia="仿宋_GB2312" w:hAnsi="仿宋_GB2312" w:cs="仿宋_GB2312" w:hint="eastAsia"/>
            <w:sz w:val="32"/>
            <w:szCs w:val="32"/>
          </w:rPr>
          <w:t>（三）国有资产占用情况说明</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11283" w:history="1">
        <w:r w:rsidR="00DC1F26">
          <w:rPr>
            <w:rFonts w:ascii="仿宋_GB2312" w:eastAsia="仿宋_GB2312" w:hAnsi="仿宋_GB2312" w:cs="仿宋_GB2312" w:hint="eastAsia"/>
            <w:bCs/>
            <w:kern w:val="0"/>
            <w:sz w:val="32"/>
            <w:szCs w:val="32"/>
          </w:rPr>
          <w:t>十一、预算绩效的情况说明</w:t>
        </w:r>
      </w:hyperlink>
    </w:p>
    <w:p w:rsidR="00242159" w:rsidRDefault="00051886">
      <w:pPr>
        <w:pStyle w:val="1"/>
        <w:tabs>
          <w:tab w:val="right" w:pos="8306"/>
        </w:tabs>
        <w:rPr>
          <w:rFonts w:ascii="仿宋_GB2312" w:eastAsia="仿宋_GB2312" w:hAnsi="仿宋_GB2312" w:cs="仿宋_GB2312"/>
          <w:b/>
          <w:bCs/>
          <w:sz w:val="32"/>
          <w:szCs w:val="32"/>
        </w:rPr>
      </w:pPr>
      <w:hyperlink w:anchor="_Toc3250" w:history="1">
        <w:r w:rsidR="00DC1F26">
          <w:rPr>
            <w:rFonts w:ascii="仿宋_GB2312" w:eastAsia="仿宋_GB2312" w:hAnsi="仿宋_GB2312" w:cs="仿宋_GB2312" w:hint="eastAsia"/>
            <w:b/>
            <w:bCs/>
            <w:sz w:val="32"/>
            <w:szCs w:val="32"/>
          </w:rPr>
          <w:t>第三部分 专业名词解释</w:t>
        </w:r>
      </w:hyperlink>
    </w:p>
    <w:p w:rsidR="00242159" w:rsidRDefault="00051886">
      <w:pPr>
        <w:pStyle w:val="1"/>
        <w:tabs>
          <w:tab w:val="right" w:pos="8306"/>
        </w:tabs>
        <w:rPr>
          <w:rFonts w:ascii="仿宋_GB2312" w:eastAsia="仿宋_GB2312" w:hAnsi="仿宋_GB2312" w:cs="仿宋_GB2312"/>
          <w:b/>
          <w:bCs/>
          <w:sz w:val="32"/>
          <w:szCs w:val="32"/>
        </w:rPr>
      </w:pPr>
      <w:hyperlink w:anchor="_Toc22784" w:history="1">
        <w:r w:rsidR="00DC1F26">
          <w:rPr>
            <w:rFonts w:ascii="仿宋_GB2312" w:eastAsia="仿宋_GB2312" w:hAnsi="仿宋_GB2312" w:cs="仿宋_GB2312" w:hint="eastAsia"/>
            <w:b/>
            <w:bCs/>
            <w:sz w:val="32"/>
            <w:szCs w:val="32"/>
          </w:rPr>
          <w:t>第四部分 部门决算报表（见附表）</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2183" w:history="1">
        <w:r w:rsidR="00DC1F26">
          <w:rPr>
            <w:rFonts w:ascii="仿宋_GB2312" w:eastAsia="仿宋_GB2312" w:hAnsi="仿宋_GB2312" w:cs="仿宋_GB2312" w:hint="eastAsia"/>
            <w:bCs/>
            <w:kern w:val="0"/>
            <w:sz w:val="32"/>
            <w:szCs w:val="32"/>
          </w:rPr>
          <w:t>一、《收入支出决算总表》</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24532" w:history="1">
        <w:r w:rsidR="00DC1F26">
          <w:rPr>
            <w:rFonts w:ascii="仿宋_GB2312" w:eastAsia="仿宋_GB2312" w:hAnsi="仿宋_GB2312" w:cs="仿宋_GB2312" w:hint="eastAsia"/>
            <w:bCs/>
            <w:kern w:val="0"/>
            <w:sz w:val="32"/>
            <w:szCs w:val="32"/>
          </w:rPr>
          <w:t>二、《收入决算表》</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32434" w:history="1">
        <w:r w:rsidR="00DC1F26">
          <w:rPr>
            <w:rFonts w:ascii="仿宋_GB2312" w:eastAsia="仿宋_GB2312" w:hAnsi="仿宋_GB2312" w:cs="仿宋_GB2312" w:hint="eastAsia"/>
            <w:bCs/>
            <w:kern w:val="0"/>
            <w:sz w:val="32"/>
            <w:szCs w:val="32"/>
          </w:rPr>
          <w:t>三、《支出决算表》</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28786" w:history="1">
        <w:r w:rsidR="00DC1F26">
          <w:rPr>
            <w:rFonts w:ascii="仿宋_GB2312" w:eastAsia="仿宋_GB2312" w:hAnsi="仿宋_GB2312" w:cs="仿宋_GB2312" w:hint="eastAsia"/>
            <w:bCs/>
            <w:kern w:val="0"/>
            <w:sz w:val="32"/>
            <w:szCs w:val="32"/>
          </w:rPr>
          <w:t>四、《财政拨款收入支出决算总表》</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14869" w:history="1">
        <w:r w:rsidR="00DC1F26">
          <w:rPr>
            <w:rFonts w:ascii="仿宋_GB2312" w:eastAsia="仿宋_GB2312" w:hAnsi="仿宋_GB2312" w:cs="仿宋_GB2312" w:hint="eastAsia"/>
            <w:bCs/>
            <w:kern w:val="0"/>
            <w:sz w:val="32"/>
            <w:szCs w:val="32"/>
          </w:rPr>
          <w:t>五、《一般公共预算财政拨款支出决算表》</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8884" w:history="1">
        <w:r w:rsidR="00DC1F26">
          <w:rPr>
            <w:rFonts w:ascii="仿宋_GB2312" w:eastAsia="仿宋_GB2312" w:hAnsi="仿宋_GB2312" w:cs="仿宋_GB2312" w:hint="eastAsia"/>
            <w:bCs/>
            <w:kern w:val="0"/>
            <w:sz w:val="32"/>
            <w:szCs w:val="32"/>
          </w:rPr>
          <w:t>六、《一般公共预算财政拨款基本支出决算表》</w:t>
        </w:r>
      </w:hyperlink>
    </w:p>
    <w:p w:rsidR="00242159" w:rsidRDefault="00051886">
      <w:pPr>
        <w:pStyle w:val="2"/>
        <w:tabs>
          <w:tab w:val="right" w:pos="8306"/>
        </w:tabs>
        <w:ind w:leftChars="0" w:left="0"/>
        <w:rPr>
          <w:rFonts w:ascii="仿宋_GB2312" w:eastAsia="仿宋_GB2312" w:hAnsi="仿宋_GB2312" w:cs="仿宋_GB2312"/>
          <w:sz w:val="32"/>
          <w:szCs w:val="32"/>
        </w:rPr>
      </w:pPr>
      <w:hyperlink w:anchor="_Toc29106" w:history="1">
        <w:r w:rsidR="00DC1F26">
          <w:rPr>
            <w:rFonts w:ascii="仿宋_GB2312" w:eastAsia="仿宋_GB2312" w:hAnsi="仿宋_GB2312" w:cs="仿宋_GB2312" w:hint="eastAsia"/>
            <w:bCs/>
            <w:kern w:val="0"/>
            <w:sz w:val="32"/>
            <w:szCs w:val="32"/>
          </w:rPr>
          <w:t>七、《一般公共预算财政拨款“三公”经费支出决算表》</w:t>
        </w:r>
      </w:hyperlink>
    </w:p>
    <w:p w:rsidR="00242159" w:rsidRDefault="00051886">
      <w:pPr>
        <w:pStyle w:val="2"/>
        <w:tabs>
          <w:tab w:val="right" w:pos="8306"/>
        </w:tabs>
        <w:ind w:leftChars="0" w:left="0"/>
        <w:rPr>
          <w:rFonts w:ascii="仿宋_GB2312" w:eastAsia="仿宋_GB2312" w:hAnsi="仿宋_GB2312" w:cs="仿宋_GB2312"/>
          <w:bCs/>
          <w:kern w:val="0"/>
          <w:sz w:val="32"/>
          <w:szCs w:val="32"/>
        </w:rPr>
      </w:pPr>
      <w:hyperlink w:anchor="_Toc7643" w:history="1">
        <w:r w:rsidR="00DC1F26">
          <w:rPr>
            <w:rFonts w:ascii="仿宋_GB2312" w:eastAsia="仿宋_GB2312" w:hAnsi="仿宋_GB2312" w:cs="仿宋_GB2312" w:hint="eastAsia"/>
            <w:bCs/>
            <w:kern w:val="0"/>
            <w:sz w:val="32"/>
            <w:szCs w:val="32"/>
          </w:rPr>
          <w:t>八、《政府性基金预算财政拨款收入支出决算表》</w:t>
        </w:r>
      </w:hyperlink>
    </w:p>
    <w:p w:rsidR="00242159" w:rsidRDefault="00DC1F26">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242159" w:rsidRDefault="00051886">
      <w:r>
        <w:rPr>
          <w:rFonts w:ascii="仿宋_GB2312" w:eastAsia="仿宋_GB2312" w:hAnsi="仿宋_GB2312" w:cs="仿宋_GB2312" w:hint="eastAsia"/>
          <w:sz w:val="32"/>
          <w:szCs w:val="32"/>
        </w:rPr>
        <w:fldChar w:fldCharType="end"/>
      </w:r>
    </w:p>
    <w:p w:rsidR="00242159" w:rsidRDefault="00DC1F26">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32314"/>
      <w:bookmarkStart w:id="1" w:name="_Toc24028"/>
      <w:r>
        <w:rPr>
          <w:rFonts w:ascii="黑体" w:eastAsia="黑体" w:hAnsi="黑体" w:hint="eastAsia"/>
          <w:sz w:val="32"/>
          <w:szCs w:val="32"/>
        </w:rPr>
        <w:lastRenderedPageBreak/>
        <w:t>第一部分 部门单位概况</w:t>
      </w:r>
      <w:bookmarkEnd w:id="0"/>
      <w:bookmarkEnd w:id="1"/>
    </w:p>
    <w:p w:rsidR="00242159" w:rsidRDefault="00DC1F26">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(一)履行全民所有土地、矿产、森林、草原、湿地、水等自然资源资产所有者职责和所有国土空间用途管制职责。贯彻执行自然资源、国土空间规划和测绘等法律法规，以及自治区、地区地方性法规、政府规章。</w:t>
      </w:r>
      <w:r>
        <w:rPr>
          <w:rFonts w:ascii="仿宋_GB2312" w:eastAsia="仿宋_GB2312" w:hint="eastAsia"/>
          <w:sz w:val="32"/>
          <w:szCs w:val="32"/>
        </w:rPr>
        <w:br/>
        <w:t xml:space="preserve">    (二)负责自然资源调查监测评价。贯彻执行国家、自治区自然资源调查监测评价的指标体系和统计标准，根据国家、自治区规定，建立统一规范的自然资源调查监测评价制度。实施自然资源基础调查、专项调查和监测。负责自然资源调查监测评价成果的监督管理和信息发布。指导全县开展自然资源调查监测评价工作。</w:t>
      </w:r>
      <w:r>
        <w:rPr>
          <w:rFonts w:ascii="仿宋_GB2312" w:eastAsia="仿宋_GB2312" w:hint="eastAsia"/>
          <w:sz w:val="32"/>
          <w:szCs w:val="32"/>
        </w:rPr>
        <w:br/>
        <w:t xml:space="preserve">    (三)负责自然资源统一确权登记工作。贯彻执行国家、自治区各类自然资源和不动产统一确权登记、权籍调查、不动产测绘、争议调处、成果应用的制度、标准、规范。建立健全县自然资源和不动产登记信息管理基础平台。负责县自然资源和不动产登记资料收集、整理、共享、汇交管理等;指导监督自然资源和不动产确权登记工作;贯彻执行自治区处理土地、草场纠纷的配套政策。组织有关部门调查、裁定县行政区划范围内的土地、草场、矿山、林地、水域等权属纠纷。</w:t>
      </w:r>
      <w:r>
        <w:rPr>
          <w:rFonts w:ascii="仿宋_GB2312" w:eastAsia="仿宋_GB2312" w:hint="eastAsia"/>
          <w:sz w:val="32"/>
          <w:szCs w:val="32"/>
        </w:rPr>
        <w:br/>
        <w:t xml:space="preserve">    (四)负责自然资源资产有偿使用工作。贯彻执行国家全</w:t>
      </w:r>
      <w:r>
        <w:rPr>
          <w:rFonts w:ascii="仿宋_GB2312" w:eastAsia="仿宋_GB2312" w:hint="eastAsia"/>
          <w:sz w:val="32"/>
          <w:szCs w:val="32"/>
        </w:rPr>
        <w:lastRenderedPageBreak/>
        <w:t>民所有自然资源资产统计制度，负责县全民所有自然资源资产核算。编制县全民所有自然资源资产负债表，根据国家、自治区规定拟订考核标准。贯彻执行国家、自治区和地区全民所有自然资源资产划拨、出让、租赁、作价出资和土地储备相关政策，并根据国家、自治区、地区规定依据权限合理配置县全民所有自然资源资产。负责县自然资源资产价值评估管理，依法收缴相关资产收益。</w:t>
      </w:r>
      <w:r>
        <w:rPr>
          <w:rFonts w:ascii="仿宋_GB2312" w:eastAsia="仿宋_GB2312" w:hint="eastAsia"/>
          <w:sz w:val="32"/>
          <w:szCs w:val="32"/>
        </w:rPr>
        <w:br/>
        <w:t xml:space="preserve">    (五)负责自然资源的合理开发利用。组织拟订县自然资源发展规划和战略，拟订自然资源开发利用标准并组织实施，建立公示自然资源价格体系，组织开展自然资源分等定级价格评估，开展自然资源利用评价考核，指导节约集约利用。负责县自然资源市场监管。组织研究县自然资源管理涉及宏观调控、区域协调和城乡统筹的政策措施。</w:t>
      </w:r>
      <w:r>
        <w:rPr>
          <w:rFonts w:ascii="仿宋_GB2312" w:eastAsia="仿宋_GB2312" w:hint="eastAsia"/>
          <w:sz w:val="32"/>
          <w:szCs w:val="32"/>
        </w:rPr>
        <w:br/>
        <w:t xml:space="preserve">    (六)负责建立空间规划体系并监督实施。推进县主体功能区战略和制度，组织编制并监督实施县国土空间规划和相关专项规划。开展县国七空间开发适宜性评价，建立国土空间规划实施监测、评估和预警体系。组织划定生态保护红线、永久基本农田、城镇开发边界等控制线，构建节约资源和保护环境的生产、生活、生态空间布局。组织实施国家、自治区国土空间用途管制制度和城乡规划政策。组织拟订并实施土地等自然资源年度利用计划。负责土地等国土空间用途转用工作。负责土地征收征用管理。</w:t>
      </w:r>
      <w:r>
        <w:rPr>
          <w:rFonts w:ascii="仿宋_GB2312" w:eastAsia="仿宋_GB2312" w:hint="eastAsia"/>
          <w:sz w:val="32"/>
          <w:szCs w:val="32"/>
        </w:rPr>
        <w:br/>
      </w:r>
      <w:r>
        <w:rPr>
          <w:rFonts w:ascii="仿宋_GB2312" w:eastAsia="仿宋_GB2312" w:hint="eastAsia"/>
          <w:sz w:val="32"/>
          <w:szCs w:val="32"/>
        </w:rPr>
        <w:lastRenderedPageBreak/>
        <w:t xml:space="preserve">    (七)负责统筹国土空间生态修复。牵头组织编制县国土空间生态修复规划并实施有关生态修复重大工程。负责县国土空间综合整治、土地整理复垦、矿山地质环境恢复治理等工作。牵头拟订和实施县生态保护补偿制度，拟订合理利用社会资金进行生态修复的政策措施，提出项目可行性方案。</w:t>
      </w:r>
      <w:r>
        <w:rPr>
          <w:rFonts w:ascii="仿宋_GB2312" w:eastAsia="仿宋_GB2312" w:hint="eastAsia"/>
          <w:sz w:val="32"/>
          <w:szCs w:val="32"/>
        </w:rPr>
        <w:br/>
        <w:t xml:space="preserve">    (八)负责组织实施最严格的耕地保护制度。贯彻执行国家自治区耕地保护政策，负责耕地数量、质量、生态保护。组织实施县耕地保护责任目标考核和永久基本农田特殊保护及耕地占补平衡制度，监督占用耕地补偿制度执行情况。</w:t>
      </w:r>
      <w:r>
        <w:rPr>
          <w:rFonts w:ascii="仿宋_GB2312" w:eastAsia="仿宋_GB2312" w:hint="eastAsia"/>
          <w:sz w:val="32"/>
          <w:szCs w:val="32"/>
        </w:rPr>
        <w:br/>
        <w:t xml:space="preserve">    (九)负责地质工作。编制县地质勘查规划并监督检查执行情况。负责地质灾害预防和治理，监督管理地下水过量开采及引发的地面沉降等地质问题。</w:t>
      </w:r>
      <w:r>
        <w:rPr>
          <w:rFonts w:ascii="仿宋_GB2312" w:eastAsia="仿宋_GB2312" w:hint="eastAsia"/>
          <w:sz w:val="32"/>
          <w:szCs w:val="32"/>
        </w:rPr>
        <w:br/>
        <w:t xml:space="preserve">    (十)负责落实综合防灾减灾规划相关要求，组织编制县地质灾害防治规划和防护标准并指导实施。组织指导协调和监督地质灾害调查评价及隐患的普查、详查、排查。指导开展群测群防专业监测和预报预警等工作，指导开展地质灾害工程治理工作。</w:t>
      </w:r>
      <w:r>
        <w:rPr>
          <w:rFonts w:ascii="仿宋_GB2312" w:eastAsia="仿宋_GB2312" w:hint="eastAsia"/>
          <w:sz w:val="32"/>
          <w:szCs w:val="32"/>
        </w:rPr>
        <w:br/>
        <w:t xml:space="preserve">    (十一)负责矿产资源管理工作。负责县自然资源矿产资源储量管理及压覆矿产资源查询。负责权限内采矿权管理。会同有关部门承担保护性开采的特定矿种、优势矿产的调控及相关管理工作。监督指导县自然资源矿产资源合理利用和保护。负责地质遗迹保护工作。</w:t>
      </w:r>
      <w:r>
        <w:rPr>
          <w:rFonts w:ascii="仿宋_GB2312" w:eastAsia="仿宋_GB2312" w:hint="eastAsia"/>
          <w:sz w:val="32"/>
          <w:szCs w:val="32"/>
        </w:rPr>
        <w:br/>
      </w:r>
      <w:r>
        <w:rPr>
          <w:rFonts w:ascii="仿宋_GB2312" w:eastAsia="仿宋_GB2312" w:hint="eastAsia"/>
          <w:sz w:val="32"/>
          <w:szCs w:val="32"/>
        </w:rPr>
        <w:lastRenderedPageBreak/>
        <w:t xml:space="preserve">    (十二)负责测绘地理信息管理工作。负责基础测绘和测绘行业管理。负责测绘资质资格与信用管理，监督管理地理信息安全和市场秩序。负责地理信息公共服务管理。负责测量标志保护。</w:t>
      </w:r>
      <w:r>
        <w:rPr>
          <w:rFonts w:ascii="仿宋_GB2312" w:eastAsia="仿宋_GB2312" w:hint="eastAsia"/>
          <w:sz w:val="32"/>
          <w:szCs w:val="32"/>
        </w:rPr>
        <w:br/>
        <w:t xml:space="preserve">    (十三)推动自然资源领域科技发展。制定并实施县自然资源领域科技创新发展和人才培养规划、计划。组织实施国家技术标准、规程规范。组织实施县重大科技工程及创新能力建设，推进自然资源信息化和信息资料的公共服务。</w:t>
      </w:r>
      <w:r>
        <w:rPr>
          <w:rFonts w:ascii="仿宋_GB2312" w:eastAsia="仿宋_GB2312" w:hint="eastAsia"/>
          <w:sz w:val="32"/>
          <w:szCs w:val="32"/>
        </w:rPr>
        <w:br/>
        <w:t xml:space="preserve">    (十四)根据授权，对乡(镇)人民政府落实党中央、国务院、自治区党委、自治区人民政府、喀什地委、行署关于自然资源和国土空间规划的重大方针政策、决策部署和县委、政府工作要求执行情况进行督察。查处自然资源开发利用和国土空间规划及测绘重大违法案件。指导乡镇有关行政执法工作。</w:t>
      </w:r>
      <w:r>
        <w:rPr>
          <w:rFonts w:ascii="仿宋_GB2312" w:eastAsia="仿宋_GB2312" w:hint="eastAsia"/>
          <w:sz w:val="32"/>
          <w:szCs w:val="32"/>
        </w:rPr>
        <w:br/>
        <w:t xml:space="preserve">    (十五)负责林业和草原及其生态保护修复的监督管理;拟定县林业和草原发展战略、规划并组织实施和监督检查;组织开展县森林、草原、湿地、荒漠和陆生野生动植物资源动态监测与评估。</w:t>
      </w:r>
      <w:r>
        <w:rPr>
          <w:rFonts w:ascii="仿宋_GB2312" w:eastAsia="仿宋_GB2312" w:hint="eastAsia"/>
          <w:sz w:val="32"/>
          <w:szCs w:val="32"/>
        </w:rPr>
        <w:br/>
        <w:t xml:space="preserve">    (十六)组织县林业和草原生态保护修复及造林绿化工作; 组织实施林业和草原重点生态保护修复工程，指导公益林和商品林的培育;指导、监督全民义务植树、城乡绿化工作;指导林业和草原有害生物防治、检疫工作;承担林业和草</w:t>
      </w:r>
      <w:r>
        <w:rPr>
          <w:rFonts w:ascii="仿宋_GB2312" w:eastAsia="仿宋_GB2312" w:hint="eastAsia"/>
          <w:sz w:val="32"/>
          <w:szCs w:val="32"/>
        </w:rPr>
        <w:lastRenderedPageBreak/>
        <w:t xml:space="preserve">原应对气候变化的相关工作。  </w:t>
      </w:r>
      <w:r>
        <w:rPr>
          <w:rFonts w:ascii="仿宋_GB2312" w:eastAsia="仿宋_GB2312" w:hint="eastAsia"/>
          <w:sz w:val="32"/>
          <w:szCs w:val="32"/>
        </w:rPr>
        <w:br/>
        <w:t xml:space="preserve">    (十七)负责县森林、草原、湿地资源的监督管理;监督执行森林采伐限额;负责林地、草地管理，拟订林地保护利用规划并组织监督实施，指导国家级公益林划定和管理工作，管理国有林区的国有森林资源;负责草原禁牧、草畜平衡和草原生态修复治理工作，监督管理草原的开发利用;负责湿地生态保护修复工作，拟订湿地保护规划，监督管理湿地的开发利用。 </w:t>
      </w:r>
      <w:r>
        <w:rPr>
          <w:rFonts w:ascii="仿宋_GB2312" w:eastAsia="仿宋_GB2312" w:hint="eastAsia"/>
          <w:sz w:val="32"/>
          <w:szCs w:val="32"/>
        </w:rPr>
        <w:br/>
        <w:t xml:space="preserve">    (十八)负责、组织、协调监督管理县荒漠化防治工作;组织开展荒漠化调查，执行相关标准和技术规程并监督实施，监督管理沙化土地的开发利用。</w:t>
      </w:r>
      <w:r>
        <w:rPr>
          <w:rFonts w:ascii="仿宋_GB2312" w:eastAsia="仿宋_GB2312" w:hint="eastAsia"/>
          <w:sz w:val="32"/>
          <w:szCs w:val="32"/>
        </w:rPr>
        <w:br/>
        <w:t xml:space="preserve">    (十九)负责县陆生野生动植物资源监督管理;组织开展陆生野生动植物资源调查，指导陆生野生动植物救护繁育、栖息地恢复发展及野生动物疫源疫病监测、防控、应急处置。监督管理陆生野生动植物猎捕或采集、驯养繁殖或培育、经营利用，按分工监督管理野生动植物进出口。 </w:t>
      </w:r>
      <w:r>
        <w:rPr>
          <w:rFonts w:ascii="仿宋_GB2312" w:eastAsia="仿宋_GB2312" w:hint="eastAsia"/>
          <w:sz w:val="32"/>
          <w:szCs w:val="32"/>
        </w:rPr>
        <w:br/>
        <w:t xml:space="preserve">    (二十)负责监督管理地区各类自然保护地;拟订各类自然保护地规划;负责国家公园、自然保护区、风景名胜区、自然遗产、自然遗迹、地质遗迹、古生物化石保护地、地质公园、森林公园等申报材料的初审并按程序上报;负责地区直接行使所有权的自然保护地的自然资源资产管理和国土空间用途管制;提出新建、调整各类自然保护地的审核建议</w:t>
      </w:r>
      <w:r>
        <w:rPr>
          <w:rFonts w:ascii="仿宋_GB2312" w:eastAsia="仿宋_GB2312" w:hint="eastAsia"/>
          <w:sz w:val="32"/>
          <w:szCs w:val="32"/>
        </w:rPr>
        <w:lastRenderedPageBreak/>
        <w:t>并按程序报批，组织审核世界自然遗产的申报，会同有关部门审核世界自然与文化双重遗产的申报;负责生物多样性保护相关工作。</w:t>
      </w:r>
      <w:r>
        <w:rPr>
          <w:rFonts w:ascii="仿宋_GB2312" w:eastAsia="仿宋_GB2312" w:hint="eastAsia"/>
          <w:sz w:val="32"/>
          <w:szCs w:val="32"/>
        </w:rPr>
        <w:br/>
        <w:t xml:space="preserve">    (二十一)负责推进县林业和草原改革相关工作;拟订集体林权制度、国有林场、草原等重大改革意见并监督实施;拟订农村林业发展、维护林业经营者合法权益的政策措施，指导农村林地承包经营工作;依法开展退耕(牧)还林还草，负责天然林保护工作。</w:t>
      </w:r>
      <w:r>
        <w:rPr>
          <w:rFonts w:ascii="仿宋_GB2312" w:eastAsia="仿宋_GB2312" w:hint="eastAsia"/>
          <w:sz w:val="32"/>
          <w:szCs w:val="32"/>
        </w:rPr>
        <w:br/>
        <w:t xml:space="preserve">    (二十二)拟订林业和草原资源优化配置及木材利用政策拟订相关林业产业地方标准并监督实施，组织指导林产品质量监督，指导生态扶贫相关工作。</w:t>
      </w:r>
      <w:r>
        <w:rPr>
          <w:rFonts w:ascii="仿宋_GB2312" w:eastAsia="仿宋_GB2312" w:hint="eastAsia"/>
          <w:sz w:val="32"/>
          <w:szCs w:val="32"/>
        </w:rPr>
        <w:br/>
        <w:t xml:space="preserve">    (二十三)指导县国有林场基本建设和发展;组织林木种子草种种质资源普查;指导建立种质资源库;负责良种选育推广管理林木种苗、草种生产经营行为，监管林木种苗、草种质量;监督管理林业和草原生物种质资源、转基因生物安全、植物新品种保护。</w:t>
      </w:r>
      <w:r>
        <w:rPr>
          <w:rFonts w:ascii="仿宋_GB2312" w:eastAsia="仿宋_GB2312" w:hint="eastAsia"/>
          <w:sz w:val="32"/>
          <w:szCs w:val="32"/>
        </w:rPr>
        <w:br/>
        <w:t xml:space="preserve">    (二十四)指导县森林公安工作，监督管理森林公安队伍，指导县林业和草原重特大案件的查处。负责林业和草原相关行政执法监管工作;指导林区和草原社会治安治理工作。</w:t>
      </w:r>
      <w:r>
        <w:rPr>
          <w:rFonts w:ascii="仿宋_GB2312" w:eastAsia="仿宋_GB2312" w:hint="eastAsia"/>
          <w:sz w:val="32"/>
          <w:szCs w:val="32"/>
        </w:rPr>
        <w:br/>
        <w:t xml:space="preserve">    (二十五)监督管理县林业和草原资金和国有资产，提出县林业草原预算内投资、财政性资金安排建议，按规定权限</w:t>
      </w:r>
      <w:r>
        <w:rPr>
          <w:rFonts w:ascii="仿宋_GB2312" w:eastAsia="仿宋_GB2312" w:hint="eastAsia"/>
          <w:sz w:val="32"/>
          <w:szCs w:val="32"/>
        </w:rPr>
        <w:lastRenderedPageBreak/>
        <w:t>审核县规划内和年度计划内投资项目;贯彻执行中央、自治区和地区林业和草原经济调节政策，组织实施林业和草原生态补偿工作。</w:t>
      </w:r>
      <w:r>
        <w:rPr>
          <w:rFonts w:ascii="仿宋_GB2312" w:eastAsia="仿宋_GB2312" w:hint="eastAsia"/>
          <w:sz w:val="32"/>
          <w:szCs w:val="32"/>
        </w:rPr>
        <w:br/>
        <w:t xml:space="preserve">    (二十六)负责林业和草原科技、教育及外事工作，指导林业和草原人才队伍建设;组织实施林业和草原国际交流与合作事务;承担湿地、防治荒漠化等国际公约履约工作。</w:t>
      </w:r>
      <w:r>
        <w:rPr>
          <w:rFonts w:ascii="仿宋_GB2312" w:eastAsia="仿宋_GB2312" w:hint="eastAsia"/>
          <w:sz w:val="32"/>
          <w:szCs w:val="32"/>
        </w:rPr>
        <w:br/>
        <w:t xml:space="preserve">    (二十七)统一管理和协调县林业和草原局。</w:t>
      </w:r>
      <w:r>
        <w:rPr>
          <w:rFonts w:ascii="仿宋_GB2312" w:eastAsia="仿宋_GB2312" w:hint="eastAsia"/>
          <w:sz w:val="32"/>
          <w:szCs w:val="32"/>
        </w:rPr>
        <w:br/>
        <w:t xml:space="preserve">    (二十八)完成县委、县人民政府交办的其他任务。</w:t>
      </w:r>
      <w:r>
        <w:rPr>
          <w:rFonts w:ascii="仿宋_GB2312" w:eastAsia="仿宋_GB2312" w:hint="eastAsia"/>
          <w:sz w:val="32"/>
          <w:szCs w:val="32"/>
        </w:rPr>
        <w:br/>
        <w:t xml:space="preserve">    (二十九)职能转变。县自然资源局要落实中央关于统一行使全民所有自然资源资产所有者职责，统一行使所有国土空间用途管制和生态保护修复职责的要求，强化顶层设计，发挥国土空间规划管控作用，为保护和合理开发利用自然资源提供科学指引。进一步加强县自然资源的保护和合理开发利用，建立健全源头保护和全过程修复治理相结合的工作机制，实现整体保护、系统修复、综合治理;加强森林、草原、湿地监督管理的统筹协调大力推进国土绿化，实施重要生态系统保护和修复工程，保障国家生态安全。加快建立以国家公园为主体的自然保护地体系，统一推进各类自然保护地的清理规范和归并整合。创新激励约束并举的制度措施，推进自然资源节约集约利用。进一步精简下放有关行政审批事项，强化监管力度，充分发挥市场对资源配置的决定性作用，强化自然资源管理规则、标准、制度的约束性作用，推进自</w:t>
      </w:r>
      <w:r>
        <w:rPr>
          <w:rFonts w:ascii="仿宋_GB2312" w:eastAsia="仿宋_GB2312" w:hint="eastAsia"/>
          <w:sz w:val="32"/>
          <w:szCs w:val="32"/>
        </w:rPr>
        <w:lastRenderedPageBreak/>
        <w:t>然资源确权登记和评估的便民高效。</w:t>
      </w:r>
    </w:p>
    <w:p w:rsidR="00242159" w:rsidRDefault="00DC1F26">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新疆喀什地区疏勒县自然资源局2020年度，实有人数77人，其中：在职人员55人，离休人员0人，退休人员22人。</w:t>
      </w:r>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从部门决算单位构成看，新疆喀什地区疏勒县自然资源局部门决算包括：新疆喀什地区疏勒县自然资源局决算。单位无下属预算单位，下设4个处室，分别是：办公室、国土空间规划股、资源开发利用股、森林资源利用股。</w:t>
      </w:r>
    </w:p>
    <w:p w:rsidR="00242159" w:rsidRDefault="00242159">
      <w:pPr>
        <w:ind w:firstLineChars="200" w:firstLine="640"/>
        <w:rPr>
          <w:rFonts w:ascii="仿宋_GB2312" w:eastAsia="仿宋_GB2312"/>
          <w:sz w:val="32"/>
          <w:szCs w:val="32"/>
        </w:rPr>
      </w:pPr>
    </w:p>
    <w:p w:rsidR="00242159" w:rsidRDefault="00DC1F26">
      <w:pPr>
        <w:rPr>
          <w:rFonts w:ascii="仿宋_GB2312" w:eastAsia="仿宋_GB2312"/>
          <w:sz w:val="32"/>
          <w:szCs w:val="32"/>
        </w:rPr>
      </w:pPr>
      <w:r>
        <w:rPr>
          <w:rFonts w:ascii="仿宋_GB2312" w:eastAsia="仿宋_GB2312" w:hint="eastAsia"/>
          <w:sz w:val="32"/>
          <w:szCs w:val="32"/>
        </w:rPr>
        <w:br w:type="page"/>
      </w:r>
    </w:p>
    <w:p w:rsidR="00242159" w:rsidRDefault="00DC1F26">
      <w:pPr>
        <w:ind w:left="1680" w:firstLine="420"/>
        <w:outlineLvl w:val="0"/>
        <w:rPr>
          <w:rFonts w:ascii="黑体" w:eastAsia="黑体" w:hAnsi="黑体"/>
          <w:sz w:val="32"/>
          <w:szCs w:val="32"/>
        </w:rPr>
      </w:pPr>
      <w:r>
        <w:rPr>
          <w:rFonts w:ascii="黑体" w:eastAsia="黑体" w:hAnsi="黑体" w:hint="eastAsia"/>
          <w:sz w:val="32"/>
          <w:szCs w:val="32"/>
        </w:rPr>
        <w:lastRenderedPageBreak/>
        <w:t>第二部分 部门决算情况说明</w:t>
      </w:r>
    </w:p>
    <w:p w:rsidR="00242159" w:rsidRDefault="00DC1F26">
      <w:pPr>
        <w:ind w:firstLineChars="200" w:firstLine="640"/>
        <w:outlineLvl w:val="1"/>
        <w:rPr>
          <w:rFonts w:ascii="黑体" w:eastAsia="黑体" w:hAnsi="黑体" w:cs="宋体"/>
          <w:bCs/>
          <w:kern w:val="0"/>
          <w:sz w:val="32"/>
          <w:szCs w:val="32"/>
        </w:rPr>
      </w:pPr>
      <w:bookmarkStart w:id="6" w:name="_Toc12566"/>
      <w:bookmarkStart w:id="7" w:name="_Toc25314"/>
      <w:r>
        <w:rPr>
          <w:rFonts w:ascii="黑体" w:eastAsia="黑体" w:hAnsi="黑体" w:cs="宋体" w:hint="eastAsia"/>
          <w:bCs/>
          <w:kern w:val="0"/>
          <w:sz w:val="32"/>
          <w:szCs w:val="32"/>
        </w:rPr>
        <w:t>一、收入支出决算总体情况说明</w:t>
      </w:r>
      <w:bookmarkEnd w:id="6"/>
      <w:bookmarkEnd w:id="7"/>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2020年度本年收入20,123.76万元，与上年相比，增加17,371.60万元，增长631.20%，主要原因是：</w:t>
      </w:r>
      <w:r w:rsidR="009424B9">
        <w:rPr>
          <w:rFonts w:ascii="仿宋_GB2312" w:eastAsia="仿宋_GB2312" w:hint="eastAsia"/>
          <w:sz w:val="32"/>
          <w:szCs w:val="32"/>
        </w:rPr>
        <w:t>本年新增扶贫林业采购</w:t>
      </w:r>
      <w:r>
        <w:rPr>
          <w:rFonts w:ascii="仿宋_GB2312" w:eastAsia="仿宋_GB2312" w:hint="eastAsia"/>
          <w:sz w:val="32"/>
          <w:szCs w:val="32"/>
        </w:rPr>
        <w:t>项目资金和国有土地征地拆迁补偿项目资金。本年支出20,123.76万元，与上年相比，增加17,371.60万元，增长631.20%，主要原因是：本年</w:t>
      </w:r>
      <w:r w:rsidR="009424B9">
        <w:rPr>
          <w:rFonts w:ascii="仿宋_GB2312" w:eastAsia="仿宋_GB2312" w:hint="eastAsia"/>
          <w:sz w:val="32"/>
          <w:szCs w:val="32"/>
        </w:rPr>
        <w:t>新增</w:t>
      </w:r>
      <w:r>
        <w:rPr>
          <w:rFonts w:ascii="仿宋_GB2312" w:eastAsia="仿宋_GB2312" w:hint="eastAsia"/>
          <w:sz w:val="32"/>
          <w:szCs w:val="32"/>
        </w:rPr>
        <w:t>扶贫林业</w:t>
      </w:r>
      <w:r w:rsidR="009424B9">
        <w:rPr>
          <w:rFonts w:ascii="仿宋_GB2312" w:eastAsia="仿宋_GB2312" w:hint="eastAsia"/>
          <w:sz w:val="32"/>
          <w:szCs w:val="32"/>
        </w:rPr>
        <w:t>采购</w:t>
      </w:r>
      <w:r>
        <w:rPr>
          <w:rFonts w:ascii="仿宋_GB2312" w:eastAsia="仿宋_GB2312" w:hint="eastAsia"/>
          <w:sz w:val="32"/>
          <w:szCs w:val="32"/>
        </w:rPr>
        <w:t>项目资金和国有土地征地拆迁补偿项目资金。</w:t>
      </w:r>
    </w:p>
    <w:p w:rsidR="00242159" w:rsidRDefault="00DC1F26">
      <w:pPr>
        <w:ind w:firstLineChars="200" w:firstLine="640"/>
        <w:outlineLvl w:val="1"/>
        <w:rPr>
          <w:rFonts w:ascii="黑体" w:eastAsia="黑体" w:hAnsi="黑体" w:cs="宋体"/>
          <w:bCs/>
          <w:kern w:val="0"/>
          <w:sz w:val="32"/>
          <w:szCs w:val="32"/>
        </w:rPr>
      </w:pPr>
      <w:bookmarkStart w:id="8" w:name="_Toc1979"/>
      <w:bookmarkStart w:id="9" w:name="_Toc12142"/>
      <w:r>
        <w:rPr>
          <w:rFonts w:ascii="黑体" w:eastAsia="黑体" w:hAnsi="黑体" w:cs="宋体" w:hint="eastAsia"/>
          <w:bCs/>
          <w:kern w:val="0"/>
          <w:sz w:val="32"/>
          <w:szCs w:val="32"/>
        </w:rPr>
        <w:t>二、收入决算情况说明</w:t>
      </w:r>
      <w:bookmarkEnd w:id="8"/>
      <w:bookmarkEnd w:id="9"/>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2020年度本年收入20,123.76万元，其中：财政拨款收入20,123.76万元，占100.00%；上级补助收入0.00万元，占0.00%；事业收入0.00万元，占0.00%；经营收入0.00万元，占0.00%；附属单位上缴收入0.00万元，占0.00%；其他收入0.00万元，占0.00%。</w:t>
      </w:r>
    </w:p>
    <w:p w:rsidR="00242159" w:rsidRDefault="00DC1F26">
      <w:pPr>
        <w:ind w:firstLineChars="200" w:firstLine="640"/>
        <w:outlineLvl w:val="1"/>
        <w:rPr>
          <w:rFonts w:ascii="黑体" w:eastAsia="黑体" w:hAnsi="黑体" w:cs="宋体"/>
          <w:bCs/>
          <w:kern w:val="0"/>
          <w:sz w:val="32"/>
          <w:szCs w:val="32"/>
        </w:rPr>
      </w:pPr>
      <w:bookmarkStart w:id="10" w:name="_Toc27961"/>
      <w:bookmarkStart w:id="11" w:name="_Toc13201"/>
      <w:r>
        <w:rPr>
          <w:rFonts w:ascii="黑体" w:eastAsia="黑体" w:hAnsi="黑体" w:cs="宋体" w:hint="eastAsia"/>
          <w:bCs/>
          <w:kern w:val="0"/>
          <w:sz w:val="32"/>
          <w:szCs w:val="32"/>
        </w:rPr>
        <w:t>三、支出决算情况说明</w:t>
      </w:r>
      <w:bookmarkEnd w:id="10"/>
      <w:bookmarkEnd w:id="11"/>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2020年度本年支出20,123.76万元，其中：基本支出824.89万元，占4.10%；项目支出19,298.87万元，占95.90%；上缴上级支出0.00万元，占0.00%；经营支出0.00万元，占0.00%；对附属单位补助支出0.00万元，占0.00%。</w:t>
      </w:r>
    </w:p>
    <w:p w:rsidR="00242159" w:rsidRDefault="00DC1F26">
      <w:pPr>
        <w:ind w:firstLineChars="200" w:firstLine="640"/>
        <w:outlineLvl w:val="1"/>
        <w:rPr>
          <w:rFonts w:ascii="黑体" w:eastAsia="黑体" w:hAnsi="黑体" w:cs="宋体"/>
          <w:bCs/>
          <w:kern w:val="0"/>
          <w:sz w:val="32"/>
          <w:szCs w:val="32"/>
        </w:rPr>
      </w:pPr>
      <w:bookmarkStart w:id="12" w:name="_Toc4393"/>
      <w:bookmarkStart w:id="13" w:name="_Toc26564"/>
      <w:r>
        <w:rPr>
          <w:rFonts w:ascii="黑体" w:eastAsia="黑体" w:hAnsi="黑体" w:cs="宋体" w:hint="eastAsia"/>
          <w:bCs/>
          <w:kern w:val="0"/>
          <w:sz w:val="32"/>
          <w:szCs w:val="32"/>
        </w:rPr>
        <w:t>四、财政拨款收入支出决算总体情况说明</w:t>
      </w:r>
      <w:bookmarkEnd w:id="12"/>
      <w:bookmarkEnd w:id="13"/>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2020年度财政拨款收入20,123.76万元，与上年相比，增加17,657.66万元，增长716.02%。主要原因是：本年</w:t>
      </w:r>
      <w:r w:rsidR="009424B9">
        <w:rPr>
          <w:rFonts w:ascii="仿宋_GB2312" w:eastAsia="仿宋_GB2312" w:hint="eastAsia"/>
          <w:sz w:val="32"/>
          <w:szCs w:val="32"/>
        </w:rPr>
        <w:t>新</w:t>
      </w:r>
      <w:r w:rsidR="009424B9">
        <w:rPr>
          <w:rFonts w:ascii="仿宋_GB2312" w:eastAsia="仿宋_GB2312" w:hint="eastAsia"/>
          <w:sz w:val="32"/>
          <w:szCs w:val="32"/>
        </w:rPr>
        <w:lastRenderedPageBreak/>
        <w:t>增</w:t>
      </w:r>
      <w:r>
        <w:rPr>
          <w:rFonts w:ascii="仿宋_GB2312" w:eastAsia="仿宋_GB2312" w:hint="eastAsia"/>
          <w:sz w:val="32"/>
          <w:szCs w:val="32"/>
        </w:rPr>
        <w:t>扶贫林业</w:t>
      </w:r>
      <w:r w:rsidR="009424B9">
        <w:rPr>
          <w:rFonts w:ascii="仿宋_GB2312" w:eastAsia="仿宋_GB2312" w:hint="eastAsia"/>
          <w:sz w:val="32"/>
          <w:szCs w:val="32"/>
        </w:rPr>
        <w:t>采购</w:t>
      </w:r>
      <w:r>
        <w:rPr>
          <w:rFonts w:ascii="仿宋_GB2312" w:eastAsia="仿宋_GB2312" w:hint="eastAsia"/>
          <w:sz w:val="32"/>
          <w:szCs w:val="32"/>
        </w:rPr>
        <w:t>项目资金和国有土地征地拆迁补偿项目资金。财政拨款支出20,123.76万元，与上年相比，增加17,657.66万元，增长716.02%，主要原因是：本年</w:t>
      </w:r>
      <w:r w:rsidR="009424B9">
        <w:rPr>
          <w:rFonts w:ascii="仿宋_GB2312" w:eastAsia="仿宋_GB2312" w:hint="eastAsia"/>
          <w:sz w:val="32"/>
          <w:szCs w:val="32"/>
        </w:rPr>
        <w:t>新增</w:t>
      </w:r>
      <w:r>
        <w:rPr>
          <w:rFonts w:ascii="仿宋_GB2312" w:eastAsia="仿宋_GB2312" w:hint="eastAsia"/>
          <w:sz w:val="32"/>
          <w:szCs w:val="32"/>
        </w:rPr>
        <w:t>扶贫林业</w:t>
      </w:r>
      <w:r w:rsidR="009424B9">
        <w:rPr>
          <w:rFonts w:ascii="仿宋_GB2312" w:eastAsia="仿宋_GB2312" w:hint="eastAsia"/>
          <w:sz w:val="32"/>
          <w:szCs w:val="32"/>
        </w:rPr>
        <w:t>采购</w:t>
      </w:r>
      <w:r>
        <w:rPr>
          <w:rFonts w:ascii="仿宋_GB2312" w:eastAsia="仿宋_GB2312" w:hint="eastAsia"/>
          <w:sz w:val="32"/>
          <w:szCs w:val="32"/>
        </w:rPr>
        <w:t>项目资金和国有土地征地拆迁补偿项目资金。</w:t>
      </w:r>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与年初预算数相比情况：财政拨款收入年初预算数862.71万元，决算数20,123.76万元，预决算差异率2,232.62%，主要原因是：项目资金未纳入年初预算，本年追加扶贫林业采</w:t>
      </w:r>
      <w:r w:rsidR="009424B9">
        <w:rPr>
          <w:rFonts w:ascii="仿宋_GB2312" w:eastAsia="仿宋_GB2312" w:hint="eastAsia"/>
          <w:sz w:val="32"/>
          <w:szCs w:val="32"/>
        </w:rPr>
        <w:t>购</w:t>
      </w:r>
      <w:r>
        <w:rPr>
          <w:rFonts w:ascii="仿宋_GB2312" w:eastAsia="仿宋_GB2312" w:hint="eastAsia"/>
          <w:sz w:val="32"/>
          <w:szCs w:val="32"/>
        </w:rPr>
        <w:t>项目资金和</w:t>
      </w:r>
      <w:r w:rsidR="009424B9">
        <w:rPr>
          <w:rFonts w:ascii="仿宋_GB2312" w:eastAsia="仿宋_GB2312" w:hint="eastAsia"/>
          <w:sz w:val="32"/>
          <w:szCs w:val="32"/>
        </w:rPr>
        <w:t>林业草原植被恢复、林业草原生态保护项目资金</w:t>
      </w:r>
      <w:r>
        <w:rPr>
          <w:rFonts w:ascii="仿宋_GB2312" w:eastAsia="仿宋_GB2312" w:hint="eastAsia"/>
          <w:sz w:val="32"/>
          <w:szCs w:val="32"/>
        </w:rPr>
        <w:t>。财政拨款支出年初预算数862.71万元，决算数20,123.76万元，预决算差异率2,232.62%，主要原因是：</w:t>
      </w:r>
      <w:r w:rsidR="009424B9">
        <w:rPr>
          <w:rFonts w:ascii="仿宋_GB2312" w:eastAsia="仿宋_GB2312" w:hint="eastAsia"/>
          <w:sz w:val="32"/>
          <w:szCs w:val="32"/>
        </w:rPr>
        <w:t>项目资金未纳入年初预算，本年追加扶贫林业采购项目资金和林业草原植被恢复、林业草原生态保护项目资金</w:t>
      </w:r>
      <w:r>
        <w:rPr>
          <w:rFonts w:ascii="仿宋_GB2312" w:eastAsia="仿宋_GB2312" w:hint="eastAsia"/>
          <w:sz w:val="32"/>
          <w:szCs w:val="32"/>
        </w:rPr>
        <w:t>。</w:t>
      </w:r>
    </w:p>
    <w:p w:rsidR="00242159" w:rsidRDefault="00DC1F26">
      <w:pPr>
        <w:ind w:firstLineChars="200" w:firstLine="640"/>
        <w:outlineLvl w:val="1"/>
        <w:rPr>
          <w:rFonts w:ascii="黑体" w:eastAsia="黑体" w:hAnsi="黑体" w:cs="宋体"/>
          <w:bCs/>
          <w:kern w:val="0"/>
          <w:sz w:val="32"/>
          <w:szCs w:val="32"/>
        </w:rPr>
      </w:pPr>
      <w:bookmarkStart w:id="14" w:name="_Toc20360"/>
      <w:bookmarkStart w:id="15" w:name="_Toc13833"/>
      <w:r>
        <w:rPr>
          <w:rFonts w:ascii="黑体" w:eastAsia="黑体" w:hAnsi="黑体" w:cs="宋体" w:hint="eastAsia"/>
          <w:bCs/>
          <w:kern w:val="0"/>
          <w:sz w:val="32"/>
          <w:szCs w:val="32"/>
        </w:rPr>
        <w:t>五、一般公共预算财政拨款支出决算情况说明</w:t>
      </w:r>
      <w:bookmarkEnd w:id="14"/>
      <w:bookmarkEnd w:id="15"/>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2020年度一般公共预算财政拨款支出19,552.21万元。按功能分类科目项级科目公开，其中：</w:t>
      </w:r>
    </w:p>
    <w:p w:rsidR="00242159" w:rsidRDefault="00DC1F26">
      <w:pPr>
        <w:rPr>
          <w:rFonts w:ascii="仿宋_GB2312" w:eastAsia="仿宋_GB2312"/>
          <w:b/>
          <w:bCs/>
          <w:sz w:val="32"/>
          <w:szCs w:val="32"/>
        </w:rPr>
      </w:pPr>
      <w:r>
        <w:rPr>
          <w:rFonts w:ascii="仿宋_GB2312" w:eastAsia="仿宋_GB2312" w:hint="eastAsia"/>
          <w:sz w:val="32"/>
          <w:szCs w:val="32"/>
        </w:rPr>
        <w:t xml:space="preserve">    2080505 机关事业单位基本养老保险缴费支出80.25万元;</w:t>
      </w:r>
      <w:r>
        <w:rPr>
          <w:rFonts w:ascii="仿宋_GB2312" w:eastAsia="仿宋_GB2312" w:hint="eastAsia"/>
          <w:sz w:val="32"/>
          <w:szCs w:val="32"/>
        </w:rPr>
        <w:br/>
        <w:t xml:space="preserve">    2110605 退耕还林工程建设2,120.00万元;</w:t>
      </w:r>
      <w:r>
        <w:rPr>
          <w:rFonts w:ascii="仿宋_GB2312" w:eastAsia="仿宋_GB2312" w:hint="eastAsia"/>
          <w:sz w:val="32"/>
          <w:szCs w:val="32"/>
        </w:rPr>
        <w:br/>
        <w:t xml:space="preserve">    2110699 其他退耕还林还草支出3,077.47万元;</w:t>
      </w:r>
      <w:r>
        <w:rPr>
          <w:rFonts w:ascii="仿宋_GB2312" w:eastAsia="仿宋_GB2312" w:hint="eastAsia"/>
          <w:sz w:val="32"/>
          <w:szCs w:val="32"/>
        </w:rPr>
        <w:br/>
        <w:t xml:space="preserve">    2130119 防灾救灾24.75万元;</w:t>
      </w:r>
      <w:r>
        <w:rPr>
          <w:rFonts w:ascii="仿宋_GB2312" w:eastAsia="仿宋_GB2312" w:hint="eastAsia"/>
          <w:sz w:val="32"/>
          <w:szCs w:val="32"/>
        </w:rPr>
        <w:br/>
        <w:t xml:space="preserve">    2130209 森林生态效益补偿118.42万元;</w:t>
      </w:r>
      <w:r>
        <w:rPr>
          <w:rFonts w:ascii="仿宋_GB2312" w:eastAsia="仿宋_GB2312" w:hint="eastAsia"/>
          <w:sz w:val="32"/>
          <w:szCs w:val="32"/>
        </w:rPr>
        <w:br/>
        <w:t xml:space="preserve">    2130234 林业草原防灾减灾91.13万元;</w:t>
      </w:r>
      <w:r>
        <w:rPr>
          <w:rFonts w:ascii="仿宋_GB2312" w:eastAsia="仿宋_GB2312" w:hint="eastAsia"/>
          <w:sz w:val="32"/>
          <w:szCs w:val="32"/>
        </w:rPr>
        <w:br/>
      </w:r>
      <w:r>
        <w:rPr>
          <w:rFonts w:ascii="仿宋_GB2312" w:eastAsia="仿宋_GB2312" w:hint="eastAsia"/>
          <w:sz w:val="32"/>
          <w:szCs w:val="32"/>
        </w:rPr>
        <w:lastRenderedPageBreak/>
        <w:t xml:space="preserve">    2130236 草原管理5.00万元;</w:t>
      </w:r>
      <w:r>
        <w:rPr>
          <w:rFonts w:ascii="仿宋_GB2312" w:eastAsia="仿宋_GB2312" w:hint="eastAsia"/>
          <w:sz w:val="32"/>
          <w:szCs w:val="32"/>
        </w:rPr>
        <w:br/>
        <w:t xml:space="preserve">    2130299 其他林业和草原支出12.48万元;</w:t>
      </w:r>
      <w:r>
        <w:rPr>
          <w:rFonts w:ascii="仿宋_GB2312" w:eastAsia="仿宋_GB2312" w:hint="eastAsia"/>
          <w:sz w:val="32"/>
          <w:szCs w:val="32"/>
        </w:rPr>
        <w:br/>
        <w:t xml:space="preserve">    2130505 生产发展6,712.29万元;</w:t>
      </w:r>
      <w:r>
        <w:rPr>
          <w:rFonts w:ascii="仿宋_GB2312" w:eastAsia="仿宋_GB2312" w:hint="eastAsia"/>
          <w:sz w:val="32"/>
          <w:szCs w:val="32"/>
        </w:rPr>
        <w:br/>
        <w:t xml:space="preserve">    2139999 其他农林水支出5,897.01万元;</w:t>
      </w:r>
      <w:r>
        <w:rPr>
          <w:rFonts w:ascii="仿宋_GB2312" w:eastAsia="仿宋_GB2312" w:hint="eastAsia"/>
          <w:sz w:val="32"/>
          <w:szCs w:val="32"/>
        </w:rPr>
        <w:br/>
        <w:t xml:space="preserve">    2200101 行政运行686.29万元;</w:t>
      </w:r>
      <w:r>
        <w:rPr>
          <w:rFonts w:ascii="仿宋_GB2312" w:eastAsia="仿宋_GB2312" w:hint="eastAsia"/>
          <w:sz w:val="32"/>
          <w:szCs w:val="32"/>
        </w:rPr>
        <w:br/>
        <w:t xml:space="preserve">    2200109 自然资源调查与确权登记115.77万元;</w:t>
      </w:r>
      <w:r>
        <w:rPr>
          <w:rFonts w:ascii="仿宋_GB2312" w:eastAsia="仿宋_GB2312" w:hint="eastAsia"/>
          <w:sz w:val="32"/>
          <w:szCs w:val="32"/>
        </w:rPr>
        <w:br/>
        <w:t xml:space="preserve">    2200199 其他自然资源事务支出518.00万元;</w:t>
      </w:r>
      <w:r>
        <w:rPr>
          <w:rFonts w:ascii="仿宋_GB2312" w:eastAsia="仿宋_GB2312" w:hint="eastAsia"/>
          <w:sz w:val="32"/>
          <w:szCs w:val="32"/>
        </w:rPr>
        <w:br/>
        <w:t xml:space="preserve">    2210201 住房公积金58.36万元;</w:t>
      </w:r>
      <w:r>
        <w:rPr>
          <w:rFonts w:ascii="仿宋_GB2312" w:eastAsia="仿宋_GB2312" w:hint="eastAsia"/>
          <w:sz w:val="32"/>
          <w:szCs w:val="32"/>
        </w:rPr>
        <w:br/>
        <w:t xml:space="preserve">    2299901 其他支出35.00万元。</w:t>
      </w:r>
    </w:p>
    <w:p w:rsidR="00242159" w:rsidRDefault="00DC1F26">
      <w:pPr>
        <w:ind w:firstLineChars="200" w:firstLine="640"/>
        <w:outlineLvl w:val="1"/>
        <w:rPr>
          <w:rFonts w:ascii="黑体" w:eastAsia="黑体" w:hAnsi="黑体" w:cs="宋体"/>
          <w:bCs/>
          <w:kern w:val="0"/>
          <w:sz w:val="32"/>
          <w:szCs w:val="32"/>
        </w:rPr>
      </w:pPr>
      <w:bookmarkStart w:id="16" w:name="_Toc30870"/>
      <w:bookmarkStart w:id="17" w:name="_Toc11146"/>
      <w:r>
        <w:rPr>
          <w:rFonts w:ascii="黑体" w:eastAsia="黑体" w:hAnsi="黑体" w:cs="宋体" w:hint="eastAsia"/>
          <w:bCs/>
          <w:kern w:val="0"/>
          <w:sz w:val="32"/>
          <w:szCs w:val="32"/>
        </w:rPr>
        <w:t>六、一般公共预算财政拨款基本支出决算情况说明</w:t>
      </w:r>
      <w:bookmarkEnd w:id="16"/>
      <w:bookmarkEnd w:id="17"/>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2020年度一般公共预算财政拨款基本支出824.89万元，其中：</w:t>
      </w:r>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人员经费799.87万元，包括：基本工资、津贴补贴、奖金、机关事业单位基本养老保险缴费、职工基本医疗保险缴费、公务员医疗补助缴费、其他社会保障缴费、住房公积金、其他工资福利支出、退休费、抚恤金、生活补助。</w:t>
      </w:r>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公用经费25.02万元，包括：办公费、印刷费、手续费、邮电费、差旅费、维修（护）费、劳务费、委托业务费、公务用车运行维护费。</w:t>
      </w:r>
    </w:p>
    <w:p w:rsidR="00242159" w:rsidRDefault="00DC1F26">
      <w:pPr>
        <w:ind w:firstLineChars="200" w:firstLine="640"/>
        <w:outlineLvl w:val="1"/>
        <w:rPr>
          <w:rFonts w:ascii="黑体" w:eastAsia="黑体" w:hAnsi="黑体" w:cs="宋体"/>
          <w:bCs/>
          <w:kern w:val="0"/>
          <w:sz w:val="32"/>
          <w:szCs w:val="32"/>
        </w:rPr>
      </w:pPr>
      <w:bookmarkStart w:id="18" w:name="_Toc21518"/>
      <w:bookmarkStart w:id="19" w:name="_Toc7190"/>
      <w:r>
        <w:rPr>
          <w:rFonts w:ascii="黑体" w:eastAsia="黑体" w:hAnsi="黑体" w:cs="宋体" w:hint="eastAsia"/>
          <w:bCs/>
          <w:kern w:val="0"/>
          <w:sz w:val="32"/>
          <w:szCs w:val="32"/>
        </w:rPr>
        <w:t>七、一般公共预算财政拨款“三公”经费支出决算情况说明</w:t>
      </w:r>
      <w:bookmarkEnd w:id="18"/>
      <w:bookmarkEnd w:id="19"/>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2020年度一般公共预算“三公”经费支出决算7.72万</w:t>
      </w:r>
      <w:r>
        <w:rPr>
          <w:rFonts w:ascii="仿宋_GB2312" w:eastAsia="仿宋_GB2312" w:hint="eastAsia"/>
          <w:sz w:val="32"/>
          <w:szCs w:val="32"/>
        </w:rPr>
        <w:lastRenderedPageBreak/>
        <w:t>元，比上年增加4.18万元，增长118.08%，主要原因是本年单位车辆老旧，下乡检查工作多，维修次数多，公务用车运行维护费用增加。其中，因公出国（境）费支出0.00万元，占0.00%，比上年增加0.00万元，增长0.00%，主要原因是本单位无因公出国预算资金安排；公务用车购置及运行维护费支出7.72万元，占100%，比上年增加4.32万元，增长127.06%，主要原因是本年单位车辆老旧，下乡检查工作多，维修次数多，公务用车运行维护费用增加；公务接待费支出0.00万元，占0%，比上年减少0.15万元，降低100.00%，主要原因是2020 年疫情原因</w:t>
      </w:r>
      <w:r w:rsidR="009424B9">
        <w:rPr>
          <w:rFonts w:ascii="仿宋_GB2312" w:eastAsia="仿宋_GB2312" w:hint="eastAsia"/>
          <w:sz w:val="32"/>
          <w:szCs w:val="32"/>
        </w:rPr>
        <w:t>，</w:t>
      </w:r>
      <w:r>
        <w:rPr>
          <w:rFonts w:ascii="仿宋_GB2312" w:eastAsia="仿宋_GB2312" w:hint="eastAsia"/>
          <w:sz w:val="32"/>
          <w:szCs w:val="32"/>
        </w:rPr>
        <w:t>上级和其他单位减少外出公务，无公务接待费用支出。具体情况如下：</w:t>
      </w:r>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因公出国（境）费支出0.00万元，开支内容包括：本单位无因公出国预算资金安排。单位全年安排的因公出国（境）团组0个，因公出国（境）0人次。</w:t>
      </w:r>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公务用车购置及运行维护费7.72万元，其中，公务用车购置费0.00万元，公务用车运行维护费7.72万元。公务用车运行维护费开支内容包括车辆保险费、车辆养护费、车辆维修费、车辆燃油费。公务用车购置数0辆，公务用车保有量3辆。</w:t>
      </w:r>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公务接待费0.00万元，开支内容包括本年无公务接待费预算资金安排，无此项支出。单位全年安排的国内公务接待0批次，0人次。</w:t>
      </w:r>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lastRenderedPageBreak/>
        <w:t>与年初预算数相比情况：一般公共预算“三公”经费支出年初预算数7.75万元，决算数7.72万元，预决算差异率-0.39%，主要原因是：严格执行中央八项规定精神及其实施细则和精打细算过紧日子，加强支出管理，严控“三公”经费 支出，与年初预算持平。</w:t>
      </w:r>
      <w:r>
        <w:rPr>
          <w:rFonts w:ascii="仿宋_GB2312" w:eastAsia="仿宋_GB2312" w:hAnsi="宋体" w:cs="宋体" w:hint="eastAsia"/>
          <w:kern w:val="0"/>
          <w:sz w:val="32"/>
          <w:szCs w:val="32"/>
        </w:rPr>
        <w:t>其中：因公出国（境）费预算数0.00万元，决算数0.00万元，预决算差异率0.00%</w:t>
      </w:r>
      <w:r>
        <w:rPr>
          <w:rFonts w:ascii="仿宋_GB2312" w:eastAsia="仿宋_GB2312" w:hint="eastAsia"/>
          <w:sz w:val="32"/>
          <w:szCs w:val="32"/>
        </w:rPr>
        <w:t>，主要原因是：本年无因公出国预算资金安排，预决算无差异；</w:t>
      </w:r>
      <w:r>
        <w:rPr>
          <w:rFonts w:ascii="仿宋_GB2312" w:eastAsia="仿宋_GB2312" w:hAnsi="宋体" w:cs="宋体" w:hint="eastAsia"/>
          <w:kern w:val="0"/>
          <w:sz w:val="32"/>
          <w:szCs w:val="32"/>
        </w:rPr>
        <w:t>公务用车购置费预算数0.00万元，决算数0.00万元，预决算差异率0.00%</w:t>
      </w:r>
      <w:r>
        <w:rPr>
          <w:rFonts w:ascii="仿宋_GB2312" w:eastAsia="仿宋_GB2312" w:hint="eastAsia"/>
          <w:sz w:val="32"/>
          <w:szCs w:val="32"/>
        </w:rPr>
        <w:t>，主要原因是：本年无购置车辆预算安排，预决算无差异；</w:t>
      </w:r>
      <w:r>
        <w:rPr>
          <w:rFonts w:ascii="仿宋_GB2312" w:eastAsia="仿宋_GB2312" w:hAnsi="宋体" w:cs="宋体" w:hint="eastAsia"/>
          <w:kern w:val="0"/>
          <w:sz w:val="32"/>
          <w:szCs w:val="32"/>
        </w:rPr>
        <w:t>公务用车运行费预算数7.75万元，决算数7.72万元，预决算差异率-0.39%</w:t>
      </w:r>
      <w:r>
        <w:rPr>
          <w:rFonts w:ascii="仿宋_GB2312" w:eastAsia="仿宋_GB2312" w:hint="eastAsia"/>
          <w:sz w:val="32"/>
          <w:szCs w:val="32"/>
        </w:rPr>
        <w:t>，主要原因是：严格按照预算执行，精打细算过紧日子，实行公务用车改革后，公务用车运行维护费用减少；</w:t>
      </w:r>
      <w:r>
        <w:rPr>
          <w:rFonts w:ascii="仿宋_GB2312" w:eastAsia="仿宋_GB2312" w:hAnsi="宋体" w:cs="宋体" w:hint="eastAsia"/>
          <w:kern w:val="0"/>
          <w:sz w:val="32"/>
          <w:szCs w:val="32"/>
        </w:rPr>
        <w:t>公务接待费预算数0.00万元，决算数0.00万元，预决算差异率0.00%</w:t>
      </w:r>
      <w:r>
        <w:rPr>
          <w:rFonts w:ascii="仿宋_GB2312" w:eastAsia="仿宋_GB2312" w:hint="eastAsia"/>
          <w:sz w:val="32"/>
          <w:szCs w:val="32"/>
        </w:rPr>
        <w:t>，主要原因是：本年无公务接待预算资金安排，决算与预算持平。</w:t>
      </w:r>
    </w:p>
    <w:p w:rsidR="00242159" w:rsidRDefault="00DC1F26">
      <w:pPr>
        <w:ind w:firstLineChars="200" w:firstLine="640"/>
        <w:outlineLvl w:val="1"/>
        <w:rPr>
          <w:rFonts w:ascii="黑体" w:eastAsia="黑体" w:hAnsi="黑体" w:cs="宋体"/>
          <w:bCs/>
          <w:kern w:val="0"/>
          <w:sz w:val="32"/>
          <w:szCs w:val="32"/>
        </w:rPr>
      </w:pPr>
      <w:bookmarkStart w:id="20" w:name="_Toc7927"/>
      <w:bookmarkStart w:id="21" w:name="_Toc5810"/>
      <w:r>
        <w:rPr>
          <w:rFonts w:ascii="黑体" w:eastAsia="黑体" w:hAnsi="黑体" w:cs="宋体" w:hint="eastAsia"/>
          <w:bCs/>
          <w:kern w:val="0"/>
          <w:sz w:val="32"/>
          <w:szCs w:val="32"/>
        </w:rPr>
        <w:t>八、政府性基金预算收入支出决算情况说明</w:t>
      </w:r>
      <w:bookmarkEnd w:id="20"/>
      <w:bookmarkEnd w:id="21"/>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2020年度政府性基金预算财政拨款收入571.55万元，与上年相比，增加392.77万元，增长219.69%，主要原因是：本年增加国有土地征地拆迁补偿项目资金。政府性基金预算支出571.55万元。与上年相比，增加392.77万元，增长219.69%，主要原因是：本年增加国有土地征地拆迁补偿项目资金。</w:t>
      </w:r>
    </w:p>
    <w:p w:rsidR="00242159" w:rsidRDefault="00DC1F26">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我单位本年度无国有资本经营预算财政拨款收入支出，国有资本经营预算财政拨款收入支出决算表为空表。</w:t>
      </w:r>
    </w:p>
    <w:p w:rsidR="00242159" w:rsidRDefault="00DC1F26">
      <w:pPr>
        <w:ind w:firstLineChars="200" w:firstLine="640"/>
        <w:outlineLvl w:val="1"/>
        <w:rPr>
          <w:rFonts w:ascii="黑体" w:eastAsia="黑体" w:hAnsi="黑体" w:cs="宋体"/>
          <w:bCs/>
          <w:kern w:val="0"/>
          <w:sz w:val="32"/>
          <w:szCs w:val="32"/>
        </w:rPr>
      </w:pPr>
      <w:bookmarkStart w:id="22" w:name="_Toc1235"/>
      <w:bookmarkStart w:id="23" w:name="_Toc7314"/>
      <w:r>
        <w:rPr>
          <w:rFonts w:ascii="黑体" w:eastAsia="黑体" w:hAnsi="黑体" w:cs="宋体" w:hint="eastAsia"/>
          <w:bCs/>
          <w:kern w:val="0"/>
          <w:sz w:val="32"/>
          <w:szCs w:val="32"/>
        </w:rPr>
        <w:t>十、其他重要事项的情况说明</w:t>
      </w:r>
      <w:bookmarkEnd w:id="22"/>
      <w:bookmarkEnd w:id="23"/>
    </w:p>
    <w:p w:rsidR="00242159" w:rsidRDefault="00DC1F26">
      <w:pPr>
        <w:ind w:firstLineChars="200" w:firstLine="640"/>
        <w:outlineLvl w:val="2"/>
        <w:rPr>
          <w:rFonts w:ascii="黑体" w:eastAsia="黑体" w:hAnsi="黑体"/>
          <w:sz w:val="32"/>
          <w:szCs w:val="32"/>
        </w:rPr>
      </w:pPr>
      <w:bookmarkStart w:id="24" w:name="_Toc14519"/>
      <w:bookmarkStart w:id="25" w:name="_Toc13105"/>
      <w:r>
        <w:rPr>
          <w:rFonts w:ascii="黑体" w:eastAsia="黑体" w:hAnsi="黑体" w:hint="eastAsia"/>
          <w:sz w:val="32"/>
          <w:szCs w:val="32"/>
        </w:rPr>
        <w:t>（一）机关运行经费支出情况</w:t>
      </w:r>
      <w:bookmarkEnd w:id="24"/>
      <w:bookmarkEnd w:id="25"/>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2020年度新疆喀什地区疏勒县自然资源局（行政单位和参照公务员法管理事业单位）机关运行经费支出25.02万元，比上年减少1.80万元，降低6.71%，主要原因是厉行节约，</w:t>
      </w:r>
      <w:r w:rsidR="009424B9">
        <w:rPr>
          <w:rFonts w:ascii="仿宋_GB2312" w:eastAsia="仿宋_GB2312" w:hint="eastAsia"/>
          <w:sz w:val="32"/>
          <w:szCs w:val="32"/>
        </w:rPr>
        <w:t>开源节流，</w:t>
      </w:r>
      <w:r>
        <w:rPr>
          <w:rFonts w:ascii="仿宋_GB2312" w:eastAsia="仿宋_GB2312" w:hint="eastAsia"/>
          <w:sz w:val="32"/>
          <w:szCs w:val="32"/>
        </w:rPr>
        <w:t>精打细算过紧日子，保障单位运行用于购买办公设备、货物和服务的各项资金及办公刷费、电费等支出减少。</w:t>
      </w:r>
    </w:p>
    <w:p w:rsidR="00242159" w:rsidRDefault="00DC1F26">
      <w:pPr>
        <w:ind w:firstLineChars="200" w:firstLine="640"/>
        <w:outlineLvl w:val="2"/>
        <w:rPr>
          <w:rFonts w:ascii="黑体" w:eastAsia="黑体" w:hAnsi="黑体"/>
          <w:sz w:val="32"/>
          <w:szCs w:val="32"/>
        </w:rPr>
      </w:pPr>
      <w:bookmarkStart w:id="26" w:name="_Toc227"/>
      <w:bookmarkStart w:id="27" w:name="_Toc26704"/>
      <w:r>
        <w:rPr>
          <w:rFonts w:ascii="黑体" w:eastAsia="黑体" w:hAnsi="黑体" w:hint="eastAsia"/>
          <w:sz w:val="32"/>
          <w:szCs w:val="32"/>
        </w:rPr>
        <w:t>（二）政府采购情况</w:t>
      </w:r>
      <w:bookmarkEnd w:id="26"/>
      <w:bookmarkEnd w:id="27"/>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2020年度政府采购支出总额11,637.05万元，其中：政府采购货物支出11,289.05万元、政府采购工程支出0.00万元、政府采购服务支出348.00万元。</w:t>
      </w:r>
    </w:p>
    <w:p w:rsidR="00242159" w:rsidRDefault="00DC1F26">
      <w:pPr>
        <w:ind w:firstLineChars="200" w:firstLine="640"/>
        <w:rPr>
          <w:rFonts w:ascii="仿宋_GB2312" w:eastAsia="仿宋_GB2312"/>
          <w:sz w:val="32"/>
          <w:szCs w:val="32"/>
        </w:rPr>
      </w:pPr>
      <w:bookmarkStart w:id="28" w:name="_Toc8391"/>
      <w:bookmarkStart w:id="29" w:name="_Toc4591"/>
      <w:r>
        <w:rPr>
          <w:rFonts w:ascii="仿宋_GB2312" w:eastAsia="仿宋_GB2312" w:hint="eastAsia"/>
          <w:sz w:val="32"/>
          <w:szCs w:val="32"/>
        </w:rPr>
        <w:t>授予中小企业合同金额11,637.05万元，占政府采购支出总额的100%，其中：授予小微企业合同金额11,637.05万元，占政府采购支出总额的100.00%。</w:t>
      </w:r>
    </w:p>
    <w:p w:rsidR="00242159" w:rsidRDefault="00DC1F26">
      <w:pPr>
        <w:ind w:firstLineChars="200" w:firstLine="640"/>
        <w:outlineLvl w:val="2"/>
        <w:rPr>
          <w:rFonts w:ascii="黑体" w:eastAsia="黑体" w:hAnsi="黑体"/>
          <w:sz w:val="32"/>
          <w:szCs w:val="32"/>
        </w:rPr>
      </w:pPr>
      <w:r>
        <w:rPr>
          <w:rFonts w:ascii="黑体" w:eastAsia="黑体" w:hAnsi="黑体" w:hint="eastAsia"/>
          <w:sz w:val="32"/>
          <w:szCs w:val="32"/>
        </w:rPr>
        <w:t>（三）国有资产占用情况说明</w:t>
      </w:r>
      <w:bookmarkEnd w:id="28"/>
      <w:bookmarkEnd w:id="29"/>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截止2020年12月31日，单位共有房屋0.00（平方米），价值0.00万元。车辆3辆，价值54.72万元，其中：副部（省）级及以上领导用车0辆、主要领导干部用车0辆、机要通信用车0辆、应急保障用车0辆、执法执勤用车0辆、</w:t>
      </w:r>
      <w:r>
        <w:rPr>
          <w:rFonts w:ascii="仿宋_GB2312" w:eastAsia="仿宋_GB2312" w:hint="eastAsia"/>
          <w:sz w:val="32"/>
          <w:szCs w:val="32"/>
        </w:rPr>
        <w:lastRenderedPageBreak/>
        <w:t>特种专业技术用车0辆、离退休干部用车0辆、其他用车3辆，其他用车主要是：一般应急管理用车；单位价值50万元以上通用设备0台（套）、单位价值100万元以上专用设备0台（套）。</w:t>
      </w:r>
    </w:p>
    <w:p w:rsidR="00242159" w:rsidRDefault="00DC1F26">
      <w:pPr>
        <w:ind w:firstLineChars="200" w:firstLine="640"/>
        <w:outlineLvl w:val="1"/>
        <w:rPr>
          <w:rFonts w:ascii="黑体" w:eastAsia="黑体" w:hAnsi="黑体" w:cs="宋体"/>
          <w:bCs/>
          <w:kern w:val="0"/>
          <w:sz w:val="32"/>
          <w:szCs w:val="32"/>
        </w:rPr>
      </w:pPr>
      <w:bookmarkStart w:id="30" w:name="_Toc11283"/>
      <w:bookmarkStart w:id="31" w:name="_Toc435"/>
      <w:r>
        <w:rPr>
          <w:rFonts w:ascii="黑体" w:eastAsia="黑体" w:hAnsi="黑体" w:cs="宋体" w:hint="eastAsia"/>
          <w:bCs/>
          <w:kern w:val="0"/>
          <w:sz w:val="32"/>
          <w:szCs w:val="32"/>
        </w:rPr>
        <w:t>十一、预算绩效的情况说明</w:t>
      </w:r>
      <w:bookmarkEnd w:id="30"/>
      <w:bookmarkEnd w:id="31"/>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2020年度开展预算绩效评价项目29个，共涉及资金21202.10万元。预算绩效管理取得的成效：一是项目实施前期，做好细化实施方案，严格执行资金管理办法和财政资金管理制度，严格按照项目实施方案、招投标管理办法等稳步推进工作，手续合法、程序到位、运作规范；二是</w:t>
      </w:r>
      <w:r w:rsidR="009424B9" w:rsidRPr="009424B9">
        <w:rPr>
          <w:rFonts w:ascii="仿宋_GB2312" w:eastAsia="仿宋_GB2312" w:hint="eastAsia"/>
          <w:sz w:val="32"/>
          <w:szCs w:val="32"/>
        </w:rPr>
        <w:t>通过实施购置果树肥料、油渣项目，提高果树成活率，抗病虫害能力，提高树势，为贫困户持续带来经济收入打好基础，预计可扶持贫困户30806户，受益建档立卡贫困人口124507</w:t>
      </w:r>
      <w:r w:rsidR="009424B9">
        <w:rPr>
          <w:rFonts w:ascii="仿宋_GB2312" w:eastAsia="仿宋_GB2312" w:hint="eastAsia"/>
          <w:sz w:val="32"/>
          <w:szCs w:val="32"/>
        </w:rPr>
        <w:t>人，并</w:t>
      </w:r>
      <w:r>
        <w:rPr>
          <w:rFonts w:ascii="仿宋_GB2312" w:eastAsia="仿宋_GB2312" w:hint="eastAsia"/>
          <w:sz w:val="32"/>
          <w:szCs w:val="32"/>
        </w:rPr>
        <w:t>及时对项目实施的档案整理及归纳，健全档案资料</w:t>
      </w:r>
      <w:r w:rsidR="00723F6F">
        <w:rPr>
          <w:rFonts w:ascii="仿宋_GB2312" w:eastAsia="仿宋_GB2312" w:hint="eastAsia"/>
          <w:sz w:val="32"/>
          <w:szCs w:val="32"/>
        </w:rPr>
        <w:t>；</w:t>
      </w:r>
      <w:r w:rsidR="009424B9">
        <w:rPr>
          <w:rFonts w:ascii="仿宋_GB2312" w:eastAsia="仿宋_GB2312" w:hint="eastAsia"/>
          <w:sz w:val="32"/>
          <w:szCs w:val="32"/>
        </w:rPr>
        <w:t>三是</w:t>
      </w:r>
      <w:r w:rsidR="009424B9" w:rsidRPr="009424B9">
        <w:rPr>
          <w:rFonts w:ascii="仿宋_GB2312" w:eastAsia="仿宋_GB2312" w:hint="eastAsia"/>
          <w:sz w:val="32"/>
          <w:szCs w:val="32"/>
        </w:rPr>
        <w:t>实施退耕还林面积5万亩，退耕还草面积0.8万亩</w:t>
      </w:r>
      <w:r w:rsidR="009424B9">
        <w:rPr>
          <w:rFonts w:ascii="仿宋_GB2312" w:eastAsia="仿宋_GB2312" w:hint="eastAsia"/>
          <w:sz w:val="32"/>
          <w:szCs w:val="32"/>
        </w:rPr>
        <w:t>，</w:t>
      </w:r>
      <w:r w:rsidR="009424B9" w:rsidRPr="009424B9">
        <w:rPr>
          <w:rFonts w:ascii="仿宋_GB2312" w:eastAsia="仿宋_GB2312" w:hint="eastAsia"/>
          <w:sz w:val="32"/>
          <w:szCs w:val="32"/>
        </w:rPr>
        <w:t>通过实施退耕还林补进一步改善生态环境，水土流失明显减少，生物多样性明显增加，增加农户收入。</w:t>
      </w:r>
      <w:r>
        <w:rPr>
          <w:rFonts w:ascii="仿宋_GB2312" w:eastAsia="仿宋_GB2312" w:hint="eastAsia"/>
          <w:sz w:val="32"/>
          <w:szCs w:val="32"/>
        </w:rPr>
        <w:t>发现的问题及原因：通过预算绩效管理，发现了工作中存在的不足：①验收未及时完成：因疫情导致该项目验收推迟，导致项目质量验收合格率未完成。②资金未拨付完毕：疏勒县增减挂资金未完全到位，导致本项目未支付完毕，资金按时拨付到位率未完成。下一步改进措施：一是系统还</w:t>
      </w:r>
      <w:r>
        <w:rPr>
          <w:rFonts w:ascii="仿宋_GB2312" w:eastAsia="仿宋_GB2312" w:hint="eastAsia"/>
          <w:sz w:val="32"/>
          <w:szCs w:val="32"/>
        </w:rPr>
        <w:lastRenderedPageBreak/>
        <w:t>需要完善，及时更新数据库；二是加强软件维护和各主要部门的沟通，及时处理信息，保障信息主渠道的安全畅通，提高工作的效率和质量。具体</w:t>
      </w:r>
      <w:bookmarkStart w:id="32" w:name="_GoBack"/>
      <w:bookmarkEnd w:id="32"/>
      <w:r>
        <w:rPr>
          <w:rFonts w:ascii="仿宋_GB2312" w:eastAsia="仿宋_GB2312" w:hint="eastAsia"/>
          <w:sz w:val="32"/>
          <w:szCs w:val="32"/>
        </w:rPr>
        <w:t>项目自评情况附项目支出绩效自评表。</w:t>
      </w:r>
    </w:p>
    <w:p w:rsidR="00242159" w:rsidRDefault="00DC1F26">
      <w:pPr>
        <w:rPr>
          <w:rFonts w:ascii="仿宋_GB2312" w:eastAsia="仿宋_GB2312"/>
          <w:sz w:val="32"/>
          <w:szCs w:val="32"/>
        </w:rPr>
      </w:pPr>
      <w:r>
        <w:rPr>
          <w:rFonts w:ascii="仿宋_GB2312" w:eastAsia="仿宋_GB2312" w:hint="eastAsia"/>
          <w:sz w:val="32"/>
          <w:szCs w:val="32"/>
        </w:rPr>
        <w:br w:type="page"/>
      </w:r>
    </w:p>
    <w:p w:rsidR="00242159" w:rsidRDefault="00DC1F26">
      <w:pPr>
        <w:ind w:firstLineChars="200" w:firstLine="640"/>
        <w:jc w:val="center"/>
        <w:outlineLvl w:val="0"/>
        <w:rPr>
          <w:rFonts w:ascii="黑体" w:eastAsia="黑体" w:hAnsi="黑体"/>
          <w:sz w:val="32"/>
          <w:szCs w:val="32"/>
        </w:rPr>
      </w:pPr>
      <w:bookmarkStart w:id="33" w:name="_Toc3250"/>
      <w:bookmarkStart w:id="34" w:name="_Toc24143"/>
      <w:bookmarkStart w:id="35" w:name="_Toc22784"/>
      <w:bookmarkStart w:id="36" w:name="_Toc28903"/>
      <w:r>
        <w:rPr>
          <w:rFonts w:ascii="黑体" w:eastAsia="黑体" w:hAnsi="黑体" w:hint="eastAsia"/>
          <w:sz w:val="32"/>
          <w:szCs w:val="32"/>
        </w:rPr>
        <w:lastRenderedPageBreak/>
        <w:t>第三部分 专业名词解释</w:t>
      </w:r>
      <w:bookmarkEnd w:id="33"/>
      <w:bookmarkEnd w:id="34"/>
    </w:p>
    <w:p w:rsidR="00242159" w:rsidRDefault="00DC1F26">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242159" w:rsidRDefault="00DC1F26">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242159" w:rsidRDefault="00DC1F26">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242159" w:rsidRDefault="00DC1F26">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242159" w:rsidRDefault="00DC1F26">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242159" w:rsidRDefault="00DC1F26">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242159" w:rsidRDefault="00DC1F26">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242159" w:rsidRDefault="00DC1F26">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242159" w:rsidRDefault="00DC1F26">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242159" w:rsidRDefault="00DC1F26">
      <w:pPr>
        <w:autoSpaceDE w:val="0"/>
        <w:autoSpaceDN w:val="0"/>
        <w:ind w:firstLineChars="200" w:firstLine="640"/>
        <w:rPr>
          <w:rFonts w:ascii="仿宋_GB2312" w:eastAsia="仿宋_GB2312"/>
          <w:sz w:val="32"/>
          <w:szCs w:val="32"/>
        </w:rPr>
      </w:pPr>
      <w:r>
        <w:rPr>
          <w:rFonts w:ascii="仿宋_GB2312" w:eastAsia="仿宋_GB2312" w:hint="eastAsia"/>
          <w:sz w:val="32"/>
          <w:szCs w:val="32"/>
        </w:rPr>
        <w:lastRenderedPageBreak/>
        <w:t>项目支出：指在基本支出之外为完成特定行政任务和事业发展目标所发生的支出。</w:t>
      </w:r>
    </w:p>
    <w:p w:rsidR="00242159" w:rsidRDefault="00DC1F26">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242159" w:rsidRDefault="00DC1F26">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242159" w:rsidRDefault="00DC1F26">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242159" w:rsidRDefault="00DC1F26">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42159" w:rsidRDefault="00DC1F26">
      <w:pPr>
        <w:rPr>
          <w:rFonts w:ascii="仿宋_GB2312" w:eastAsia="仿宋_GB2312"/>
          <w:sz w:val="32"/>
          <w:szCs w:val="32"/>
        </w:rPr>
      </w:pPr>
      <w:r>
        <w:rPr>
          <w:rFonts w:ascii="仿宋_GB2312" w:eastAsia="仿宋_GB2312" w:hint="eastAsia"/>
          <w:sz w:val="32"/>
          <w:szCs w:val="32"/>
        </w:rPr>
        <w:br w:type="page"/>
      </w:r>
    </w:p>
    <w:p w:rsidR="00242159" w:rsidRDefault="00DC1F26">
      <w:pPr>
        <w:ind w:firstLineChars="200" w:firstLine="640"/>
        <w:jc w:val="center"/>
        <w:outlineLvl w:val="0"/>
        <w:rPr>
          <w:rFonts w:ascii="黑体" w:eastAsia="黑体" w:hAnsi="黑体"/>
          <w:sz w:val="32"/>
          <w:szCs w:val="32"/>
        </w:rPr>
      </w:pPr>
      <w:r>
        <w:rPr>
          <w:rFonts w:ascii="黑体" w:eastAsia="黑体" w:hAnsi="黑体" w:hint="eastAsia"/>
          <w:sz w:val="32"/>
          <w:szCs w:val="32"/>
        </w:rPr>
        <w:lastRenderedPageBreak/>
        <w:t>第四部分 部门决算报表（见附表）</w:t>
      </w:r>
      <w:bookmarkEnd w:id="35"/>
      <w:bookmarkEnd w:id="36"/>
    </w:p>
    <w:p w:rsidR="00242159" w:rsidRDefault="00DC1F26">
      <w:pPr>
        <w:ind w:firstLineChars="200" w:firstLine="640"/>
        <w:outlineLvl w:val="1"/>
        <w:rPr>
          <w:rFonts w:ascii="黑体" w:eastAsia="黑体" w:hAnsi="黑体" w:cs="宋体"/>
          <w:bCs/>
          <w:kern w:val="0"/>
          <w:sz w:val="32"/>
          <w:szCs w:val="32"/>
        </w:rPr>
      </w:pPr>
      <w:bookmarkStart w:id="37" w:name="_Toc6062"/>
      <w:bookmarkStart w:id="38" w:name="_Toc2183"/>
      <w:r>
        <w:rPr>
          <w:rFonts w:ascii="黑体" w:eastAsia="黑体" w:hAnsi="黑体" w:cs="宋体" w:hint="eastAsia"/>
          <w:bCs/>
          <w:kern w:val="0"/>
          <w:sz w:val="32"/>
          <w:szCs w:val="32"/>
        </w:rPr>
        <w:t>一、《收入支出决算总表》</w:t>
      </w:r>
      <w:bookmarkEnd w:id="37"/>
      <w:bookmarkEnd w:id="38"/>
    </w:p>
    <w:p w:rsidR="00242159" w:rsidRDefault="00DC1F26">
      <w:pPr>
        <w:ind w:firstLineChars="200" w:firstLine="640"/>
        <w:outlineLvl w:val="1"/>
        <w:rPr>
          <w:rFonts w:ascii="黑体" w:eastAsia="黑体" w:hAnsi="黑体" w:cs="宋体"/>
          <w:bCs/>
          <w:kern w:val="0"/>
          <w:sz w:val="32"/>
          <w:szCs w:val="32"/>
        </w:rPr>
      </w:pPr>
      <w:bookmarkStart w:id="39" w:name="_Toc24532"/>
      <w:bookmarkStart w:id="40" w:name="_Toc30364"/>
      <w:r>
        <w:rPr>
          <w:rFonts w:ascii="黑体" w:eastAsia="黑体" w:hAnsi="黑体" w:cs="宋体" w:hint="eastAsia"/>
          <w:bCs/>
          <w:kern w:val="0"/>
          <w:sz w:val="32"/>
          <w:szCs w:val="32"/>
        </w:rPr>
        <w:t>二、《收入决算表》</w:t>
      </w:r>
      <w:bookmarkEnd w:id="39"/>
      <w:bookmarkEnd w:id="40"/>
    </w:p>
    <w:p w:rsidR="00242159" w:rsidRDefault="00DC1F26">
      <w:pPr>
        <w:ind w:firstLineChars="200" w:firstLine="640"/>
        <w:outlineLvl w:val="1"/>
        <w:rPr>
          <w:rFonts w:ascii="黑体" w:eastAsia="黑体" w:hAnsi="黑体" w:cs="宋体"/>
          <w:bCs/>
          <w:kern w:val="0"/>
          <w:sz w:val="32"/>
          <w:szCs w:val="32"/>
        </w:rPr>
      </w:pPr>
      <w:bookmarkStart w:id="41" w:name="_Toc32434"/>
      <w:bookmarkStart w:id="42" w:name="_Toc21304"/>
      <w:r>
        <w:rPr>
          <w:rFonts w:ascii="黑体" w:eastAsia="黑体" w:hAnsi="黑体" w:cs="宋体" w:hint="eastAsia"/>
          <w:bCs/>
          <w:kern w:val="0"/>
          <w:sz w:val="32"/>
          <w:szCs w:val="32"/>
        </w:rPr>
        <w:t>三、《支出决算表》</w:t>
      </w:r>
      <w:bookmarkEnd w:id="41"/>
      <w:bookmarkEnd w:id="42"/>
    </w:p>
    <w:p w:rsidR="00242159" w:rsidRDefault="00DC1F26">
      <w:pPr>
        <w:ind w:firstLineChars="200" w:firstLine="640"/>
        <w:outlineLvl w:val="1"/>
        <w:rPr>
          <w:rFonts w:ascii="黑体" w:eastAsia="黑体" w:hAnsi="黑体" w:cs="宋体"/>
          <w:bCs/>
          <w:kern w:val="0"/>
          <w:sz w:val="32"/>
          <w:szCs w:val="32"/>
        </w:rPr>
      </w:pPr>
      <w:bookmarkStart w:id="43" w:name="_Toc28786"/>
      <w:bookmarkStart w:id="44" w:name="_Toc14238"/>
      <w:r>
        <w:rPr>
          <w:rFonts w:ascii="黑体" w:eastAsia="黑体" w:hAnsi="黑体" w:cs="宋体" w:hint="eastAsia"/>
          <w:bCs/>
          <w:kern w:val="0"/>
          <w:sz w:val="32"/>
          <w:szCs w:val="32"/>
        </w:rPr>
        <w:t>四、《财政拨款收入支出决算总表》</w:t>
      </w:r>
      <w:bookmarkEnd w:id="43"/>
      <w:bookmarkEnd w:id="44"/>
    </w:p>
    <w:p w:rsidR="00242159" w:rsidRDefault="00DC1F26">
      <w:pPr>
        <w:ind w:firstLineChars="200" w:firstLine="640"/>
        <w:outlineLvl w:val="1"/>
        <w:rPr>
          <w:rFonts w:ascii="黑体" w:eastAsia="黑体" w:hAnsi="黑体" w:cs="宋体"/>
          <w:bCs/>
          <w:kern w:val="0"/>
          <w:sz w:val="32"/>
          <w:szCs w:val="32"/>
        </w:rPr>
      </w:pPr>
      <w:bookmarkStart w:id="45" w:name="_Toc14869"/>
      <w:bookmarkStart w:id="46" w:name="_Toc10347"/>
      <w:r>
        <w:rPr>
          <w:rFonts w:ascii="黑体" w:eastAsia="黑体" w:hAnsi="黑体" w:cs="宋体" w:hint="eastAsia"/>
          <w:bCs/>
          <w:kern w:val="0"/>
          <w:sz w:val="32"/>
          <w:szCs w:val="32"/>
        </w:rPr>
        <w:t>五、《一般公共预算财政拨款支出决算表》</w:t>
      </w:r>
      <w:bookmarkEnd w:id="45"/>
      <w:bookmarkEnd w:id="46"/>
    </w:p>
    <w:p w:rsidR="00242159" w:rsidRDefault="00DC1F26">
      <w:pPr>
        <w:ind w:firstLineChars="200" w:firstLine="640"/>
        <w:outlineLvl w:val="1"/>
        <w:rPr>
          <w:rFonts w:ascii="黑体" w:eastAsia="黑体" w:hAnsi="黑体" w:cs="宋体"/>
          <w:bCs/>
          <w:kern w:val="0"/>
          <w:sz w:val="32"/>
          <w:szCs w:val="32"/>
        </w:rPr>
      </w:pPr>
      <w:bookmarkStart w:id="47" w:name="_Toc5626"/>
      <w:bookmarkStart w:id="48" w:name="_Toc8884"/>
      <w:r>
        <w:rPr>
          <w:rFonts w:ascii="黑体" w:eastAsia="黑体" w:hAnsi="黑体" w:cs="宋体" w:hint="eastAsia"/>
          <w:bCs/>
          <w:kern w:val="0"/>
          <w:sz w:val="32"/>
          <w:szCs w:val="32"/>
        </w:rPr>
        <w:t>六、《一般公共预算财政拨款基本支出决算表》</w:t>
      </w:r>
      <w:bookmarkEnd w:id="47"/>
      <w:bookmarkEnd w:id="48"/>
    </w:p>
    <w:p w:rsidR="00242159" w:rsidRDefault="00DC1F26">
      <w:pPr>
        <w:ind w:firstLineChars="200" w:firstLine="640"/>
        <w:outlineLvl w:val="1"/>
        <w:rPr>
          <w:rFonts w:ascii="黑体" w:eastAsia="黑体" w:hAnsi="黑体" w:cs="宋体"/>
          <w:bCs/>
          <w:kern w:val="0"/>
          <w:sz w:val="32"/>
          <w:szCs w:val="32"/>
        </w:rPr>
      </w:pPr>
      <w:bookmarkStart w:id="49" w:name="_Toc29106"/>
      <w:bookmarkStart w:id="50" w:name="_Toc32663"/>
      <w:r>
        <w:rPr>
          <w:rFonts w:ascii="黑体" w:eastAsia="黑体" w:hAnsi="黑体" w:cs="宋体" w:hint="eastAsia"/>
          <w:bCs/>
          <w:kern w:val="0"/>
          <w:sz w:val="32"/>
          <w:szCs w:val="32"/>
        </w:rPr>
        <w:t>七、《一般公共预算财政拨款“三公”经费支出决算表》</w:t>
      </w:r>
      <w:bookmarkEnd w:id="49"/>
      <w:bookmarkEnd w:id="50"/>
    </w:p>
    <w:p w:rsidR="00242159" w:rsidRDefault="00DC1F26">
      <w:pPr>
        <w:ind w:firstLineChars="200" w:firstLine="640"/>
        <w:outlineLvl w:val="1"/>
        <w:rPr>
          <w:rFonts w:ascii="黑体" w:eastAsia="黑体" w:hAnsi="黑体" w:cs="宋体"/>
          <w:bCs/>
          <w:kern w:val="0"/>
          <w:sz w:val="32"/>
          <w:szCs w:val="32"/>
        </w:rPr>
      </w:pPr>
      <w:bookmarkStart w:id="51" w:name="_Toc7643"/>
      <w:bookmarkStart w:id="52" w:name="_Toc5453"/>
      <w:r>
        <w:rPr>
          <w:rFonts w:ascii="黑体" w:eastAsia="黑体" w:hAnsi="黑体" w:cs="宋体" w:hint="eastAsia"/>
          <w:bCs/>
          <w:kern w:val="0"/>
          <w:sz w:val="32"/>
          <w:szCs w:val="32"/>
        </w:rPr>
        <w:t>八、《政府性基金预算财政拨款收入支出决算表》</w:t>
      </w:r>
      <w:bookmarkEnd w:id="51"/>
      <w:bookmarkEnd w:id="52"/>
    </w:p>
    <w:p w:rsidR="00242159" w:rsidRDefault="00DC1F26">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九、《国有资本经营预算财政拨款收入支出决算表》</w:t>
      </w:r>
    </w:p>
    <w:sectPr w:rsidR="00242159" w:rsidSect="00242159">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39C" w:rsidRDefault="0088439C" w:rsidP="00242159">
      <w:r>
        <w:separator/>
      </w:r>
    </w:p>
  </w:endnote>
  <w:endnote w:type="continuationSeparator" w:id="0">
    <w:p w:rsidR="0088439C" w:rsidRDefault="0088439C" w:rsidP="002421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黑体">
    <w:altName w:val="微软雅黑"/>
    <w:panose1 w:val="02010600030101010101"/>
    <w:charset w:val="86"/>
    <w:family w:val="modern"/>
    <w:notTrueType/>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59" w:rsidRDefault="00051886">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AmzV+cvQEAAGIDAAAOAAAAAAAAAAEAIAAAAB4BAABkcnMvZTJvRG9jLnhtbFBLBQYAAAAA&#10;BgAGAFkBAABNBQAAAAA=&#10;" filled="f" stroked="f">
          <v:textbox style="mso-fit-shape-to-text:t" inset="0,0,0,0">
            <w:txbxContent>
              <w:p w:rsidR="00242159" w:rsidRDefault="00051886">
                <w:pPr>
                  <w:pStyle w:val="a4"/>
                </w:pPr>
                <w:r>
                  <w:rPr>
                    <w:rFonts w:hint="eastAsia"/>
                  </w:rPr>
                  <w:fldChar w:fldCharType="begin"/>
                </w:r>
                <w:r w:rsidR="00DC1F26">
                  <w:rPr>
                    <w:rFonts w:hint="eastAsia"/>
                  </w:rPr>
                  <w:instrText xml:space="preserve"> PAGE  \* MERGEFORMAT </w:instrText>
                </w:r>
                <w:r>
                  <w:rPr>
                    <w:rFonts w:hint="eastAsia"/>
                  </w:rPr>
                  <w:fldChar w:fldCharType="separate"/>
                </w:r>
                <w:r w:rsidR="00723F6F">
                  <w:rPr>
                    <w:noProof/>
                  </w:rPr>
                  <w:t>18</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39C" w:rsidRDefault="0088439C" w:rsidP="00242159">
      <w:r>
        <w:separator/>
      </w:r>
    </w:p>
  </w:footnote>
  <w:footnote w:type="continuationSeparator" w:id="0">
    <w:p w:rsidR="0088439C" w:rsidRDefault="0088439C" w:rsidP="002421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proofState w:spelling="clean"/>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242159"/>
    <w:rsid w:val="00051886"/>
    <w:rsid w:val="00242159"/>
    <w:rsid w:val="00723F6F"/>
    <w:rsid w:val="0088439C"/>
    <w:rsid w:val="009424B9"/>
    <w:rsid w:val="00DC1F26"/>
    <w:rsid w:val="0131169A"/>
    <w:rsid w:val="01734C27"/>
    <w:rsid w:val="01DD6073"/>
    <w:rsid w:val="02014C29"/>
    <w:rsid w:val="02890C73"/>
    <w:rsid w:val="04044ED1"/>
    <w:rsid w:val="041C5E18"/>
    <w:rsid w:val="04AA63C1"/>
    <w:rsid w:val="04EE377F"/>
    <w:rsid w:val="051C631E"/>
    <w:rsid w:val="0562142B"/>
    <w:rsid w:val="06792773"/>
    <w:rsid w:val="074F280E"/>
    <w:rsid w:val="075B1482"/>
    <w:rsid w:val="075F768F"/>
    <w:rsid w:val="07BA7C7F"/>
    <w:rsid w:val="07C3443C"/>
    <w:rsid w:val="08476613"/>
    <w:rsid w:val="084876D1"/>
    <w:rsid w:val="09026D66"/>
    <w:rsid w:val="090B11F4"/>
    <w:rsid w:val="0A2E4EB6"/>
    <w:rsid w:val="0A611FB0"/>
    <w:rsid w:val="0A6D05E4"/>
    <w:rsid w:val="0AC520F0"/>
    <w:rsid w:val="0B21162A"/>
    <w:rsid w:val="0B557DD5"/>
    <w:rsid w:val="0BED1442"/>
    <w:rsid w:val="0C595DFB"/>
    <w:rsid w:val="0C7A5D15"/>
    <w:rsid w:val="0CD00AF9"/>
    <w:rsid w:val="0CFEBB4E"/>
    <w:rsid w:val="0D0A4F7E"/>
    <w:rsid w:val="0D0B27DC"/>
    <w:rsid w:val="0D7C3599"/>
    <w:rsid w:val="0E003458"/>
    <w:rsid w:val="0E1F036C"/>
    <w:rsid w:val="0EB33F18"/>
    <w:rsid w:val="0F1410FB"/>
    <w:rsid w:val="0F923480"/>
    <w:rsid w:val="1056158D"/>
    <w:rsid w:val="10F929CB"/>
    <w:rsid w:val="10FF31A4"/>
    <w:rsid w:val="1142269D"/>
    <w:rsid w:val="11450985"/>
    <w:rsid w:val="11CA45A9"/>
    <w:rsid w:val="11E8712A"/>
    <w:rsid w:val="11FE3AAA"/>
    <w:rsid w:val="122451E5"/>
    <w:rsid w:val="126B62A8"/>
    <w:rsid w:val="12951F13"/>
    <w:rsid w:val="12B1037D"/>
    <w:rsid w:val="12CC4CD9"/>
    <w:rsid w:val="13326CE6"/>
    <w:rsid w:val="14284AED"/>
    <w:rsid w:val="15CF1AC0"/>
    <w:rsid w:val="17083B88"/>
    <w:rsid w:val="1742163F"/>
    <w:rsid w:val="176E53C3"/>
    <w:rsid w:val="1805797E"/>
    <w:rsid w:val="18124080"/>
    <w:rsid w:val="182E453B"/>
    <w:rsid w:val="189A656F"/>
    <w:rsid w:val="198202DA"/>
    <w:rsid w:val="19AF7A44"/>
    <w:rsid w:val="1A6109EF"/>
    <w:rsid w:val="1B424E9E"/>
    <w:rsid w:val="1BB07761"/>
    <w:rsid w:val="1C2A54A9"/>
    <w:rsid w:val="1C3737FD"/>
    <w:rsid w:val="1C88403A"/>
    <w:rsid w:val="1CB729A5"/>
    <w:rsid w:val="1CC56B97"/>
    <w:rsid w:val="1D34682A"/>
    <w:rsid w:val="1D4A73D5"/>
    <w:rsid w:val="1D9C2D67"/>
    <w:rsid w:val="1DAF458D"/>
    <w:rsid w:val="1DE34574"/>
    <w:rsid w:val="1F77716A"/>
    <w:rsid w:val="1F825A11"/>
    <w:rsid w:val="206034DD"/>
    <w:rsid w:val="20DF6845"/>
    <w:rsid w:val="233B4784"/>
    <w:rsid w:val="233E5923"/>
    <w:rsid w:val="236A6149"/>
    <w:rsid w:val="23B146B9"/>
    <w:rsid w:val="240038BA"/>
    <w:rsid w:val="240A65B7"/>
    <w:rsid w:val="263D5951"/>
    <w:rsid w:val="265E582C"/>
    <w:rsid w:val="26E147D1"/>
    <w:rsid w:val="27004B43"/>
    <w:rsid w:val="27B248A0"/>
    <w:rsid w:val="283F1644"/>
    <w:rsid w:val="287C6FB4"/>
    <w:rsid w:val="28B4796C"/>
    <w:rsid w:val="29770D57"/>
    <w:rsid w:val="29A000F0"/>
    <w:rsid w:val="29D21E13"/>
    <w:rsid w:val="2A053397"/>
    <w:rsid w:val="2AB554B8"/>
    <w:rsid w:val="2B0377CD"/>
    <w:rsid w:val="2B6B66AA"/>
    <w:rsid w:val="2BFE2EF0"/>
    <w:rsid w:val="2C1E18A5"/>
    <w:rsid w:val="2C604703"/>
    <w:rsid w:val="2D1136DF"/>
    <w:rsid w:val="2D2B5CBF"/>
    <w:rsid w:val="2D8C755C"/>
    <w:rsid w:val="2DA02D04"/>
    <w:rsid w:val="2DFD193C"/>
    <w:rsid w:val="2E9F6859"/>
    <w:rsid w:val="2EC544A9"/>
    <w:rsid w:val="2F0C26B1"/>
    <w:rsid w:val="2F116303"/>
    <w:rsid w:val="2FC614E6"/>
    <w:rsid w:val="30236790"/>
    <w:rsid w:val="30802486"/>
    <w:rsid w:val="31175173"/>
    <w:rsid w:val="314D12BC"/>
    <w:rsid w:val="316F250C"/>
    <w:rsid w:val="31BD13AC"/>
    <w:rsid w:val="31C63837"/>
    <w:rsid w:val="32082F98"/>
    <w:rsid w:val="32A6143E"/>
    <w:rsid w:val="336D09C0"/>
    <w:rsid w:val="354A37A9"/>
    <w:rsid w:val="36273CF4"/>
    <w:rsid w:val="36827C07"/>
    <w:rsid w:val="36AA5F52"/>
    <w:rsid w:val="36C058A7"/>
    <w:rsid w:val="36E000FD"/>
    <w:rsid w:val="374146AF"/>
    <w:rsid w:val="37D36EBD"/>
    <w:rsid w:val="399731E4"/>
    <w:rsid w:val="3ADE39A4"/>
    <w:rsid w:val="3AFB1A4C"/>
    <w:rsid w:val="3B610B0E"/>
    <w:rsid w:val="3BF672B3"/>
    <w:rsid w:val="3BF67B6E"/>
    <w:rsid w:val="3C530331"/>
    <w:rsid w:val="3CBB22B3"/>
    <w:rsid w:val="3CC7093B"/>
    <w:rsid w:val="3CC80DC0"/>
    <w:rsid w:val="3D1309DF"/>
    <w:rsid w:val="3D217D96"/>
    <w:rsid w:val="3D5275AC"/>
    <w:rsid w:val="3DED65A8"/>
    <w:rsid w:val="3DFE4E4B"/>
    <w:rsid w:val="3E160417"/>
    <w:rsid w:val="3E4F50AC"/>
    <w:rsid w:val="40161B73"/>
    <w:rsid w:val="4079165E"/>
    <w:rsid w:val="41AD1AA2"/>
    <w:rsid w:val="41B20E4F"/>
    <w:rsid w:val="41D31F00"/>
    <w:rsid w:val="42B76840"/>
    <w:rsid w:val="43316970"/>
    <w:rsid w:val="4421165A"/>
    <w:rsid w:val="44467526"/>
    <w:rsid w:val="44CF4655"/>
    <w:rsid w:val="45A87853"/>
    <w:rsid w:val="45AD0B65"/>
    <w:rsid w:val="46901EEE"/>
    <w:rsid w:val="469C74D2"/>
    <w:rsid w:val="46DC1114"/>
    <w:rsid w:val="46FA6D28"/>
    <w:rsid w:val="473F39FE"/>
    <w:rsid w:val="476D2E32"/>
    <w:rsid w:val="47801D21"/>
    <w:rsid w:val="47FF5A3B"/>
    <w:rsid w:val="48F9688C"/>
    <w:rsid w:val="490B0284"/>
    <w:rsid w:val="492D17D3"/>
    <w:rsid w:val="493A3870"/>
    <w:rsid w:val="4A1207ED"/>
    <w:rsid w:val="4A9D77CC"/>
    <w:rsid w:val="4AF5079B"/>
    <w:rsid w:val="4B345CA5"/>
    <w:rsid w:val="4B701753"/>
    <w:rsid w:val="4BEB2AE8"/>
    <w:rsid w:val="4C181618"/>
    <w:rsid w:val="4C6D3066"/>
    <w:rsid w:val="4CB3745D"/>
    <w:rsid w:val="4D391693"/>
    <w:rsid w:val="4DA93660"/>
    <w:rsid w:val="4DD406E5"/>
    <w:rsid w:val="4DF31F55"/>
    <w:rsid w:val="4E535897"/>
    <w:rsid w:val="4F195BC9"/>
    <w:rsid w:val="4F714843"/>
    <w:rsid w:val="4FCE528B"/>
    <w:rsid w:val="5004002B"/>
    <w:rsid w:val="500A528D"/>
    <w:rsid w:val="50D87915"/>
    <w:rsid w:val="50DB5F45"/>
    <w:rsid w:val="510B4945"/>
    <w:rsid w:val="511D7E14"/>
    <w:rsid w:val="51554269"/>
    <w:rsid w:val="516A2E8A"/>
    <w:rsid w:val="517134A1"/>
    <w:rsid w:val="51BB37A4"/>
    <w:rsid w:val="52163B23"/>
    <w:rsid w:val="523D322D"/>
    <w:rsid w:val="52C01CAC"/>
    <w:rsid w:val="530335BC"/>
    <w:rsid w:val="535F2703"/>
    <w:rsid w:val="549741F3"/>
    <w:rsid w:val="56146D24"/>
    <w:rsid w:val="56547F9B"/>
    <w:rsid w:val="568D63A8"/>
    <w:rsid w:val="569D71D3"/>
    <w:rsid w:val="570E289D"/>
    <w:rsid w:val="57211AEC"/>
    <w:rsid w:val="57AF4592"/>
    <w:rsid w:val="5813797A"/>
    <w:rsid w:val="58344842"/>
    <w:rsid w:val="588E1D40"/>
    <w:rsid w:val="58E4063C"/>
    <w:rsid w:val="58F356A0"/>
    <w:rsid w:val="58FB4926"/>
    <w:rsid w:val="5A8C5C64"/>
    <w:rsid w:val="5B0A3C7C"/>
    <w:rsid w:val="5C145D5F"/>
    <w:rsid w:val="5C8850C2"/>
    <w:rsid w:val="5DE43C4B"/>
    <w:rsid w:val="5E256662"/>
    <w:rsid w:val="5E8D0FF0"/>
    <w:rsid w:val="5EA92E5B"/>
    <w:rsid w:val="5F312B5A"/>
    <w:rsid w:val="5F3A544C"/>
    <w:rsid w:val="5F421F4F"/>
    <w:rsid w:val="5F932967"/>
    <w:rsid w:val="600C4334"/>
    <w:rsid w:val="607C007C"/>
    <w:rsid w:val="60EE637C"/>
    <w:rsid w:val="610F4386"/>
    <w:rsid w:val="610F76A0"/>
    <w:rsid w:val="613B2291"/>
    <w:rsid w:val="616F6C82"/>
    <w:rsid w:val="61C23CA5"/>
    <w:rsid w:val="625B5AF2"/>
    <w:rsid w:val="62A91F52"/>
    <w:rsid w:val="62B07C56"/>
    <w:rsid w:val="64350E40"/>
    <w:rsid w:val="64766BFD"/>
    <w:rsid w:val="647D0508"/>
    <w:rsid w:val="6537230D"/>
    <w:rsid w:val="656325C7"/>
    <w:rsid w:val="65BF2B26"/>
    <w:rsid w:val="65CF3090"/>
    <w:rsid w:val="65D57A52"/>
    <w:rsid w:val="668019BE"/>
    <w:rsid w:val="668147BE"/>
    <w:rsid w:val="66A71241"/>
    <w:rsid w:val="67CB7D39"/>
    <w:rsid w:val="69316E1A"/>
    <w:rsid w:val="69554902"/>
    <w:rsid w:val="69952C8D"/>
    <w:rsid w:val="69A94B4A"/>
    <w:rsid w:val="69AD798C"/>
    <w:rsid w:val="69C70FA3"/>
    <w:rsid w:val="69E5430E"/>
    <w:rsid w:val="6A197EE3"/>
    <w:rsid w:val="6A4F6540"/>
    <w:rsid w:val="6A733F65"/>
    <w:rsid w:val="6AAD748A"/>
    <w:rsid w:val="6B4F02DD"/>
    <w:rsid w:val="6B68175F"/>
    <w:rsid w:val="6B8E27EF"/>
    <w:rsid w:val="6C360AF8"/>
    <w:rsid w:val="6C6B3009"/>
    <w:rsid w:val="6C6B3214"/>
    <w:rsid w:val="6C747BB9"/>
    <w:rsid w:val="6D3D14C4"/>
    <w:rsid w:val="6DF26FFC"/>
    <w:rsid w:val="6E094282"/>
    <w:rsid w:val="6ED34999"/>
    <w:rsid w:val="6F29157B"/>
    <w:rsid w:val="6F531BF4"/>
    <w:rsid w:val="700F486D"/>
    <w:rsid w:val="701074C0"/>
    <w:rsid w:val="707F51EF"/>
    <w:rsid w:val="71833EC6"/>
    <w:rsid w:val="718D4E0D"/>
    <w:rsid w:val="71AE7AA3"/>
    <w:rsid w:val="71CA2249"/>
    <w:rsid w:val="721E4A5D"/>
    <w:rsid w:val="72EE56CB"/>
    <w:rsid w:val="73406D5B"/>
    <w:rsid w:val="738E33C3"/>
    <w:rsid w:val="73FB6630"/>
    <w:rsid w:val="750B5BF1"/>
    <w:rsid w:val="75B51FC0"/>
    <w:rsid w:val="75B60031"/>
    <w:rsid w:val="76DD091D"/>
    <w:rsid w:val="77466E92"/>
    <w:rsid w:val="774B26E2"/>
    <w:rsid w:val="77720CA8"/>
    <w:rsid w:val="77ED6F44"/>
    <w:rsid w:val="78224413"/>
    <w:rsid w:val="78FD1F20"/>
    <w:rsid w:val="79870A12"/>
    <w:rsid w:val="7A1C6325"/>
    <w:rsid w:val="7A7632AD"/>
    <w:rsid w:val="7AC8434A"/>
    <w:rsid w:val="7B3910B5"/>
    <w:rsid w:val="7B4C7884"/>
    <w:rsid w:val="7B902D83"/>
    <w:rsid w:val="7BAB7A6D"/>
    <w:rsid w:val="7D5B7B53"/>
    <w:rsid w:val="7D710817"/>
    <w:rsid w:val="7F8F3BEC"/>
    <w:rsid w:val="7FD64A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215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242159"/>
    <w:pPr>
      <w:jc w:val="left"/>
    </w:pPr>
  </w:style>
  <w:style w:type="paragraph" w:styleId="3">
    <w:name w:val="toc 3"/>
    <w:basedOn w:val="a"/>
    <w:next w:val="a"/>
    <w:qFormat/>
    <w:rsid w:val="00242159"/>
    <w:pPr>
      <w:ind w:leftChars="400" w:left="840"/>
    </w:pPr>
  </w:style>
  <w:style w:type="paragraph" w:styleId="a4">
    <w:name w:val="footer"/>
    <w:basedOn w:val="a"/>
    <w:qFormat/>
    <w:rsid w:val="00242159"/>
    <w:pPr>
      <w:tabs>
        <w:tab w:val="center" w:pos="4153"/>
        <w:tab w:val="right" w:pos="8306"/>
      </w:tabs>
      <w:snapToGrid w:val="0"/>
      <w:jc w:val="left"/>
    </w:pPr>
    <w:rPr>
      <w:sz w:val="18"/>
    </w:rPr>
  </w:style>
  <w:style w:type="paragraph" w:styleId="a5">
    <w:name w:val="header"/>
    <w:basedOn w:val="a"/>
    <w:qFormat/>
    <w:rsid w:val="0024215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242159"/>
  </w:style>
  <w:style w:type="paragraph" w:styleId="2">
    <w:name w:val="toc 2"/>
    <w:basedOn w:val="a"/>
    <w:next w:val="a"/>
    <w:qFormat/>
    <w:rsid w:val="00242159"/>
    <w:pPr>
      <w:ind w:leftChars="200" w:left="420"/>
    </w:pPr>
  </w:style>
  <w:style w:type="paragraph" w:customStyle="1" w:styleId="WPSOffice3">
    <w:name w:val="WPSOffice手动目录 3"/>
    <w:qFormat/>
    <w:rsid w:val="00242159"/>
    <w:pPr>
      <w:ind w:leftChars="400" w:left="400"/>
    </w:pPr>
  </w:style>
  <w:style w:type="paragraph" w:customStyle="1" w:styleId="WPSOffice2">
    <w:name w:val="WPSOffice手动目录 2"/>
    <w:qFormat/>
    <w:rsid w:val="00242159"/>
    <w:pPr>
      <w:ind w:leftChars="200" w:left="200"/>
    </w:pPr>
  </w:style>
  <w:style w:type="paragraph" w:customStyle="1" w:styleId="WPSOffice1">
    <w:name w:val="WPSOffice手动目录 1"/>
    <w:qFormat/>
    <w:rsid w:val="0024215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22</Pages>
  <Words>1543</Words>
  <Characters>8800</Characters>
  <Application>Microsoft Office Word</Application>
  <DocSecurity>0</DocSecurity>
  <Lines>73</Lines>
  <Paragraphs>20</Paragraphs>
  <ScaleCrop>false</ScaleCrop>
  <Company/>
  <LinksUpToDate>false</LinksUpToDate>
  <CharactersWithSpaces>10323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3</cp:revision>
  <dcterms:created xsi:type="dcterms:W3CDTF">2014-10-29T20:08:00Z</dcterms:created>
  <dcterms:modified xsi:type="dcterms:W3CDTF">2021-08-23T08:21:00Z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58240A701613457BB24A0FE0F01EE863</vt:lpwstr>
  </property>
</Properties>
</file>