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新疆喀什地区疏勒县自然资源局</w:t>
      </w:r>
      <w:r>
        <w:rPr>
          <w:rFonts w:hint="eastAsia" w:ascii="方正小标宋_GBK" w:hAnsi="宋体" w:eastAsia="方正小标宋_GBK"/>
          <w:color w:val="auto"/>
          <w:sz w:val="44"/>
          <w:szCs w:val="44"/>
        </w:rPr>
        <w:t>2020</w:t>
      </w:r>
      <w:r>
        <w:rPr>
          <w:rFonts w:hint="eastAsia" w:ascii="方正小标宋_GBK" w:hAnsi="宋体" w:eastAsia="方正小标宋_GBK"/>
          <w:color w:val="auto"/>
          <w:sz w:val="44"/>
          <w:szCs w:val="44"/>
          <w:highlight w:val="none"/>
        </w:rPr>
        <w:t>年度部门决算公开说明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方正小标宋_GBK" w:hAnsi="宋体" w:eastAsia="方正小标宋_GBK"/>
          <w:color w:val="auto"/>
          <w:sz w:val="44"/>
          <w:szCs w:val="44"/>
          <w:highlight w:val="none"/>
        </w:rPr>
        <w:br w:type="page"/>
      </w: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_Toc32314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_Toc30567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_Toc29374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第二部分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_Toc25314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_Toc12142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_Toc13201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_Toc26564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_Toc20360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_Toc30870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七</w:t>
      </w:r>
      <w:r>
        <w:rPr>
          <w:rFonts w:hint="eastAsia" w:ascii="仿宋_GB2312" w:hAnsi="仿宋_GB2312" w:eastAsia="仿宋_GB2312" w:cs="仿宋_GB2312"/>
          <w:bCs/>
          <w:kern w:val="0"/>
          <w:sz w:val="32"/>
          <w:szCs w:val="32"/>
          <w:highlight w:val="none"/>
        </w:rPr>
        <w:t>、一般公共预算</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八、政府性基金预算财政拨款收入支出决算情况说明</w:t>
      </w:r>
      <w:r>
        <w:rPr>
          <w:rFonts w:hint="eastAsia" w:ascii="仿宋_GB2312" w:hAnsi="仿宋_GB2312" w:eastAsia="仿宋_GB2312" w:cs="仿宋_GB2312"/>
          <w:sz w:val="32"/>
          <w:szCs w:val="32"/>
          <w:highlight w:val="none"/>
        </w:rPr>
        <w:fldChar w:fldCharType="end"/>
      </w:r>
    </w:p>
    <w:p>
      <w:pPr>
        <w:rPr>
          <w:rFonts w:hint="eastAsia"/>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九、国有资本经营预算财政拨款收入支出决算情况说明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_Toc1235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_Toc14519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_Toc8391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_Toc11283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十一、预算绩效的情况说明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_Toc3250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第三部分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_Toc22784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_Toc24532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_Toc32434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_Toc28786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_Toc14869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_Toc29106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七、《一般公共预算财政拨款“三公”经费支出决算表》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_Toc7643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bCs/>
          <w:kern w:val="0"/>
          <w:sz w:val="32"/>
          <w:szCs w:val="32"/>
          <w:highlight w:val="none"/>
        </w:rPr>
        <w:t>八、《政府性基金预算财政拨款收入支出决算表》</w:t>
      </w:r>
      <w:r>
        <w:rPr>
          <w:rFonts w:hint="eastAsia" w:ascii="仿宋_GB2312" w:hAnsi="仿宋_GB2312" w:eastAsia="仿宋_GB2312" w:cs="仿宋_GB2312"/>
          <w:bCs/>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lang w:eastAsia="zh-CN"/>
        </w:rPr>
      </w:pPr>
      <w:r>
        <w:rPr>
          <w:rFonts w:hint="eastAsia" w:ascii="仿宋_GB2312" w:hAnsi="仿宋_GB2312" w:eastAsia="仿宋_GB2312" w:cs="仿宋_GB2312"/>
          <w:bCs/>
          <w:kern w:val="0"/>
          <w:sz w:val="32"/>
          <w:szCs w:val="32"/>
          <w:highlight w:val="none"/>
          <w:lang w:eastAsia="zh-CN"/>
        </w:rPr>
        <w:t>九、《国有资本经营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bCs/>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sz w:val="32"/>
          <w:szCs w:val="32"/>
          <w:highlight w:val="none"/>
        </w:rPr>
        <w:fldChar w:fldCharType="end"/>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bookmarkStart w:id="0" w:name="_Toc32314"/>
      <w:bookmarkStart w:id="1" w:name="_Toc24028"/>
      <w:r>
        <w:rPr>
          <w:rFonts w:hint="eastAsia" w:ascii="黑体" w:hAnsi="黑体" w:eastAsia="黑体"/>
          <w:color w:val="auto"/>
          <w:sz w:val="32"/>
          <w:szCs w:val="32"/>
          <w:highlight w:val="none"/>
        </w:rPr>
        <w:t>第一部分 部门单位概况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(一)履行全民所有土地、矿产、森林、草原、湿地、水等自然资源资产所有者职责和所有国土空间用途管制职责。贯彻执行自然资源、国土空间规划和测绘等法律法规，以及自治区、地区地方性法规、政府规章。</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二)负责自然资源调查监测评价。贯彻执行国家、自治区自然资源调查监测评价的指标体系和统计标准，根据国家、自治区规定，建立统一规范的自然资源调查监测评价制度。实施自然资源基础调查、专项调查和监测。负责自然资源调查监测评价成果的监督管理和信息发布。指导全县开展自然资源调查监测评价工作。</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三)负责自然资源统一确权登记工作。贯彻执行国家、自治区各类自然资源和不动产统一确权登记、权籍调查、不动产测绘、争议调处、成果应用的制度、标准、规范。建立健全县自然资源和不动产登记信息管理基础平台。负责县自然资源和不动产登记资料收集、整理、共享、汇交管理等;指导监督自然资源和不动产确权登记工作;贯彻执行自治区处理土地、草场纠纷的配套政策。组织有关部门调查、裁定县行政区划范围内的土地、草场、矿山、林地、水域等权属纠纷。</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四)负责自然资源资产有偿使用工作。贯彻执行国家全民所有自然资源资产统计制度，负责县全民所有自然资源资产核算。编制县全民所有自然资源资产负债表，根据国家、自治区规定拟订考核标准。贯彻执行国家、自治区和地区全民所有自然资源资产划拨、出让、租赁、作价出资和土地储备相关政策，并根据国家、自治区、地区规定依据权限合理配置县全民所有自然资源资产。负责县自然资源资产价值评估管理，依法收缴相关资产收益。</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五)负责自然资源的合理开发利用。组织拟订县自然资源发展规划和战略，拟订自然资源开发利用标准并组织实施，建立公示自然资源价格体系，组织开展自然资源分等定级价格评估，开展自然资源利用评价考核，指导节约集约利用。负责县自然资源市场监管。组织研究县自然资源管理涉及宏观调控、区域协调和城乡统筹的政策措施。</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六)负责建立空间规划体系并监督实施。推进县主体功能区战略和制度，组织编制并监督实施县国土空间规划和相关专项规划。开展县国七空间开发适宜性评价，建立国土空间规划实施监测、评估和预警体系。组织划定生态保护红线、永久基本农田、城镇开发边界等控制线，构建节约资源和保护环境的生产、生活、生态空间布局。组织实施国家、自治区国土空间用途管制制度和城乡规划政策。组织拟订并实施土地等自然资源年度利用计划。负责土地等国土空间用途转用工作。负责土地征收征用管理。</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七)负责统筹国土空间生态修复。牵头组织编制县国土空间生态修复规划并实施有关生态修复重大工程。负责县国土空间综合整治、土地整理复垦、矿山地质环境恢复治理等工作。牵头拟订和实施县生态保护补偿制度，拟订合理利用社会资金进行生态修复的政策措施，提出项目可行性方案。</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八)负责组织实施最严格的耕地保护制度。贯彻执行国家自治区耕地保护政策，负责耕地数量、质量、生态保护。组织实施县耕地保护责任目标考核和永久基本农田特殊保护及耕地占补平衡制度，监督占用耕地补偿制度执行情况。</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(九)负责地质工作。编制县地质勘查规划并监督检查执行情况。负责地质灾害预防和治理，监督管理地下水过量开采及引发的地面沉降等地质问题。</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十)负责落实综合防灾减灾规划相关要求，组织编制县地质灾害防治规划和防护标准并指导实施。组织指导协调和监督地质灾害调查评价及隐患的普查、详查、排查。指导开展群测群防专业监测和预报预警等工作，指导开展地质灾害工程治理工作。</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十一)负责矿产资源管理工作。负责县自然资源矿产资源储量管理及压覆矿产资源查询。负责权限内采矿权管理。会同有关部门承担保护性开采的特定矿种、优势矿产的调控及相关管理工作。监督指导县自然资源矿产资源合理利用和保护。负责地质遗迹保护工作。</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(十二)负责测绘地理信息管理工作。负责基础测绘和测绘行业管理。负责测绘资质资格与信用管理，监督管理地理信息安全和市场秩序。负责地理信息公共服务管理。负责测量标志保护。</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十三)推动自然资源领域科技发展。制定并实施县自然资源领域科技创新发展和人才培养规划、计划。组织实施国家技术标准、规程规范。组织实施县重大科技工程及创新能力建设，推进自然资源信息化和信息资料的公共服务。</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十四)根据授权，对乡(镇)人民政府落实党中央、国务院、自治区党委、自治区人民政府、喀什地委、行署关于自然资源和国土空间规划的重大方针政策、决策部署和县委、政府工作要求执行情况进行督察。查处自然资源开发利用和国土空间规划及测绘重大违法案件。指导乡镇有关行政执法工作。</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(十五)负责林业和草原及其生态保护修复的监督管理;拟定县林业和草原发展战略、规划并组织实施和监督检查;组织开展县森林、草原、湿地、荒漠和陆生野生动植物资源动态监测与评估。</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(十六)组织县林业和草原生态保护修复及造林绿化工作; 组织实施林业和草原重点生态保护修复工程，指导公益林和商品林的培育;指导、监督全民义务植树、城乡绿化工作;指导林业和草原有害生物防治、检疫工作;承担林业和草原应对气候变化的相关工作。  </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十七)负责县森林、草原、湿地资源的监督管理;监督执行森林采伐限额;负责林地、草地管理，拟订林地保护利用规划并组织监督实施，指导国家级公益林划定和管理工作，管理国有林区的国有森林资源;负责草原禁牧、草畜平衡和草原生态修复治理工作，监督管理草原的开发利用;负责湿地生态保护修复工作，拟订湿地保护规划，监督管理湿地的开发利用。 </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(十八)负责、组织、协调监督管理县荒漠化防治工作;组织开展荒漠化调查，执行相关标准和技术规程并监督实施，监督管理沙化土地的开发利用。</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十九)负责县陆生野生动植物资源监督管理;组织开展陆生野生动植物资源调查，指导陆生野生动植物救护繁育、栖息地恢复发展及野生动物疫源疫病监测、防控、应急处置。监督管理陆生野生动植物猎捕或采集、驯养繁殖或培育、经营利用，按分工监督管理野生动植物进出口。 </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二十)负责监督管理地区各类自然保护地;拟订各类自然保护地规划;负责国家公园、自然保护区、风景名胜区、自然遗产、自然遗迹、地质遗迹、古生物化石保护地、地质公园、森林公园等申报材料的初审并按程序上报;负责地区直接行使所有权的自然保护地的自然资源资产管理和国土空间用途管制;提出新建、调整各类自然保护地的审核建议并按程序报批，组织审核世界自然遗产的申报，会同有关部门审核世界自然与文化双重遗产的申报;负责生物多样性保护相关工作。</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二十一)负责推进县林业和草原改革相关工作;拟订集体林权制度、国有林场、草原等重大改革意见并监督实施;拟订农村林业发展、维护林业经营者合法权益的政策措施，指导农村林地承包经营工作;依法开展退耕(牧)还林还草，负责天然林保护工作。</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(二十二)拟订林业和草原资源优化配置及木材利用政策拟订相关林业产业地方标准并监督实施，组织指导林产品质量监督，指导生态扶贫相关工作。</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二十三)指导县国有林场基本建设和发展;组织林木种子草种种质资源普查;指导建立种质资源库;负责良种选育推广管理林木种苗、草种生产经营行为，监管林木种苗、草种质量;监督管理林业和草原生物种质资源、转基因生物安全、植物新品种保护。</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(二十四)指导县森林公安工作，监督管理森林公安队伍，指导县林业和草原重特大案件的查处。负责林业和草原相关行政执法监管工作;指导林区和草原社会治安治理工作。</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二十五)监督管理县林业和草原资金和国有资产，提出县林业草原预算内投资、财政性资金安排建议，按规定权限审核县规划内和年度计划内投资项目;贯彻执行中央、自治区和地区林业和草原经济调节政策，组织实施林业和草原生态补偿工作。</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(二十六)负责林业和草原科技、教育及外事工作，指导林业和草原人才队伍建设;组织实施林业和草原国际交流与合作事务;承担湿地、防治荒漠化等国际公约履约工作。</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(二十七)统一管理和协调县林业和草原局。</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(二十八)完成县委、县人民政府交办的其他任务。</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二十九)职能转变。县自然资源局要落实中央关于统一行使全民所有自然资源资产所有者职责，统一行使所有国土空间用途管制和生态保护修复职责的要求，强化顶层设计，发挥国土空间规划管控作用，为保护和合理开发利用自然资源提供科学指引。进一步加强县自然资源的保护和合理开发利用，建立健全源头保护和全过程修复治理相结合的工作机制，实现整体保护、系统修复、综合治理;加强森林、草原、湿地监督管理的统筹协调大力推进国土绿化，实施重要生态系统保护和修复工程，保障国家生态安全。加快建立以国家公园为主体的自然保护地体系，统一推进各类自然保护地的清理规范和归并整合。创新激励约束并举的制度措施，推进自然资源节约集约利用。进一步精简下放有关行政审批事项，强化监管力度，充分发挥市场对资源配置的决定性作用，强化自然资源管理规则、标准、制度的约束性作用，推进自然资源确权登记和评估的便民高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新疆喀什地区疏勒县自然资源局2020年度，实有人数77人，其中：在职人员55人，离休人员0人，退休人员22人。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从部门决算单位构成看，新疆喀什地区疏勒县自然资源局部门决算包括：新疆喀什地区疏勒县自然资源局决算。单位无下属预算单位，下设4个处室，分别是：办公室、国土空间规划股、资源开发利用股、森林资源利用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left="1680" w:leftChars="0" w:firstLine="420" w:firstLineChars="0"/>
        <w:jc w:val="both"/>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第二部分 部门决算情况说明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6" w:name="_Toc12566"/>
      <w:bookmarkStart w:id="7" w:name="_Toc25314"/>
      <w:r>
        <w:rPr>
          <w:rFonts w:hint="eastAsia" w:ascii="黑体" w:hAnsi="黑体" w:eastAsia="黑体" w:cs="宋体"/>
          <w:bCs/>
          <w:color w:val="auto"/>
          <w:kern w:val="0"/>
          <w:sz w:val="32"/>
          <w:szCs w:val="32"/>
          <w:highlight w:val="none"/>
        </w:rPr>
        <w:t>一、收入支出决算总体情况说明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b w:val="0"/>
          <w:bCs w:val="0"/>
          <w:color w:val="auto"/>
          <w:sz w:val="32"/>
          <w:szCs w:val="32"/>
          <w:highlight w:val="none"/>
          <w:lang w:eastAsia="zh-CN"/>
        </w:rPr>
      </w:pPr>
      <w:r>
        <w:rPr>
          <w:rFonts w:hint="eastAsia" w:ascii="仿宋_GB2312" w:eastAsia="仿宋_GB2312"/>
          <w:b w:val="0"/>
          <w:bCs w:val="0"/>
          <w:color w:val="auto"/>
          <w:spacing w:val="0"/>
          <w:sz w:val="32"/>
          <w:szCs w:val="32"/>
          <w:highlight w:val="none"/>
          <w:lang w:val="en-US" w:eastAsia="zh-CN"/>
        </w:rPr>
        <w:t>2020年度本年收入20,123.76万元，与上年相比，增加17,371.60万元，增长631.20%</w:t>
      </w:r>
      <w:r>
        <w:rPr>
          <w:rFonts w:hint="eastAsia" w:ascii="仿宋_GB2312" w:eastAsia="仿宋_GB2312"/>
          <w:b w:val="0"/>
          <w:bCs w:val="0"/>
          <w:color w:val="auto"/>
          <w:sz w:val="32"/>
          <w:szCs w:val="32"/>
          <w:highlight w:val="none"/>
          <w:lang w:eastAsia="zh-CN"/>
        </w:rPr>
        <w:t>，主要原因是</w:t>
      </w:r>
      <w:r>
        <w:rPr>
          <w:rFonts w:hint="eastAsia" w:ascii="仿宋_GB2312" w:eastAsia="仿宋_GB2312"/>
          <w:b w:val="0"/>
          <w:bCs w:val="0"/>
          <w:color w:val="auto"/>
          <w:sz w:val="32"/>
          <w:szCs w:val="32"/>
          <w:highlight w:val="none"/>
        </w:rPr>
        <w:t>：</w:t>
      </w:r>
      <w:r>
        <w:rPr>
          <w:rFonts w:hint="eastAsia" w:ascii="仿宋_GB2312" w:eastAsia="仿宋_GB2312"/>
          <w:b w:val="0"/>
          <w:bCs w:val="0"/>
          <w:color w:val="auto"/>
          <w:sz w:val="32"/>
          <w:szCs w:val="32"/>
          <w:highlight w:val="none"/>
          <w:lang w:val="en-US" w:eastAsia="zh-CN"/>
        </w:rPr>
        <w:t>本年增加扶贫林业采项目资金和新增国有土地征地拆迁补偿项目资金</w:t>
      </w:r>
      <w:r>
        <w:rPr>
          <w:rFonts w:hint="eastAsia" w:ascii="仿宋_GB2312" w:eastAsia="仿宋_GB2312"/>
          <w:b w:val="0"/>
          <w:bCs w:val="0"/>
          <w:color w:val="auto"/>
          <w:sz w:val="32"/>
          <w:szCs w:val="32"/>
          <w:highlight w:val="none"/>
          <w:lang w:eastAsia="zh-CN"/>
        </w:rPr>
        <w:t>。</w:t>
      </w:r>
      <w:r>
        <w:rPr>
          <w:rFonts w:hint="eastAsia" w:ascii="仿宋_GB2312" w:eastAsia="仿宋_GB2312"/>
          <w:b w:val="0"/>
          <w:bCs w:val="0"/>
          <w:color w:val="auto"/>
          <w:sz w:val="32"/>
          <w:szCs w:val="32"/>
          <w:highlight w:val="none"/>
          <w:lang w:val="en-US" w:eastAsia="zh-CN"/>
        </w:rPr>
        <w:t>本年支出20,123.76万元，与上年相比，增加17,371.60万元，增长631.20%</w:t>
      </w:r>
      <w:r>
        <w:rPr>
          <w:rFonts w:hint="eastAsia" w:ascii="仿宋_GB2312" w:eastAsia="仿宋_GB2312"/>
          <w:b w:val="0"/>
          <w:bCs w:val="0"/>
          <w:color w:val="auto"/>
          <w:sz w:val="32"/>
          <w:szCs w:val="32"/>
          <w:highlight w:val="none"/>
          <w:lang w:eastAsia="zh-CN"/>
        </w:rPr>
        <w:t>，主要原因是</w:t>
      </w:r>
      <w:r>
        <w:rPr>
          <w:rFonts w:hint="eastAsia" w:ascii="仿宋_GB2312" w:eastAsia="仿宋_GB2312"/>
          <w:b w:val="0"/>
          <w:bCs w:val="0"/>
          <w:color w:val="auto"/>
          <w:sz w:val="32"/>
          <w:szCs w:val="32"/>
          <w:highlight w:val="none"/>
        </w:rPr>
        <w:t>：</w:t>
      </w:r>
      <w:r>
        <w:rPr>
          <w:rFonts w:hint="eastAsia" w:ascii="仿宋_GB2312" w:eastAsia="仿宋_GB2312"/>
          <w:b w:val="0"/>
          <w:bCs w:val="0"/>
          <w:color w:val="auto"/>
          <w:sz w:val="32"/>
          <w:szCs w:val="32"/>
          <w:highlight w:val="none"/>
          <w:lang w:val="en-US" w:eastAsia="zh-CN"/>
        </w:rPr>
        <w:t>本年增加扶贫林业采项目资金和新增国有土地征地拆迁补偿项目资金</w:t>
      </w:r>
      <w:r>
        <w:rPr>
          <w:rFonts w:hint="eastAsia" w:ascii="仿宋_GB2312" w:eastAsia="仿宋_GB2312"/>
          <w:b w:val="0"/>
          <w:bCs w:val="0"/>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979"/>
      <w:bookmarkStart w:id="9"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pacing w:val="0"/>
          <w:sz w:val="32"/>
          <w:szCs w:val="32"/>
          <w:highlight w:val="none"/>
          <w:lang w:val="en-US" w:eastAsia="zh-CN"/>
        </w:rPr>
        <w:t>2020年度本年收入20,123.76万元，其中：财政拨款收入20,123.76万元，占100.00%；上级补助收入0.00万元，占0.00%；事业收入0.00万元，占0.00%；经营收入0.00万元，占0.00%；附属单位上缴收入0.00万元，占0.00%；其他收入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0" w:name="_Toc27961"/>
      <w:bookmarkStart w:id="11" w:name="_Toc13201"/>
      <w:r>
        <w:rPr>
          <w:rFonts w:hint="eastAsia" w:ascii="黑体" w:hAnsi="黑体" w:eastAsia="黑体" w:cs="宋体"/>
          <w:bCs/>
          <w:color w:val="auto"/>
          <w:kern w:val="0"/>
          <w:sz w:val="32"/>
          <w:szCs w:val="32"/>
          <w:highlight w:val="none"/>
          <w:lang w:eastAsia="zh-CN"/>
        </w:rPr>
        <w:t>三、支出决算情况说明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pacing w:val="0"/>
          <w:sz w:val="32"/>
          <w:szCs w:val="32"/>
          <w:highlight w:val="none"/>
          <w:lang w:val="en-US" w:eastAsia="zh-CN"/>
        </w:rPr>
        <w:t>2020年度本年支出20,123.76万元，其中：基本支出824.89万元，占4.10%；项目支出19,298.87万元，占95.90%；上缴上级支出0.00万元，占0.00%；经营支出0.00万元，占0.00%；对附属单位补助支出0.00万元，占0.00%。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4393"/>
      <w:bookmarkStart w:id="13" w:name="_Toc26564"/>
      <w:r>
        <w:rPr>
          <w:rFonts w:hint="eastAsia" w:ascii="黑体" w:hAnsi="黑体" w:eastAsia="黑体" w:cs="宋体"/>
          <w:bCs/>
          <w:color w:val="auto"/>
          <w:kern w:val="0"/>
          <w:sz w:val="32"/>
          <w:szCs w:val="32"/>
          <w:highlight w:val="none"/>
          <w:lang w:eastAsia="zh-CN"/>
        </w:rPr>
        <w:t>四、财政拨款收入支出决算总体情况说明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pacing w:val="0"/>
          <w:sz w:val="32"/>
          <w:szCs w:val="32"/>
          <w:highlight w:val="none"/>
          <w:lang w:val="en-US" w:eastAsia="zh-CN"/>
        </w:rPr>
        <w:t>2020年度财政拨款收入20,123.76万元，与上年相比，增加17,657.66万元，增长716.02%</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本年增加扶贫林业采项目资金和新增国有土地征地拆迁补偿项目资金</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财政拨款支出20,123.76万元，与上年相比，增加17,657.66万元，增长716.02%</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本年增加扶贫林业采项目资金和新增国有土地征地拆迁补偿项目资金</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与年初预算数相比情况：财政拨款收入年初预算数862.71万元，决算数20,123.76万元，预决算差异率2,232.62%</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项目资金未纳入年初预算，本年追加扶贫林业采项目资金和新增国有土地征地拆迁补偿项目资金</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财政拨款支出年初预算数862.71万元，决算数20,123.76万元，预决算差异率2,232.62%</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项目资金未纳入年初预算，本年追加扶贫林业采项目资金和新增国有土地征地拆迁补偿项目资金</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20360"/>
      <w:bookmarkStart w:id="15"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4"/>
      <w:bookmarkEnd w:id="15"/>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val="en-US" w:eastAsia="zh-CN"/>
        </w:rPr>
        <w:t>2020年度一般公共预算财政拨款支出19,552.21万元。按功能分类科目项级科目公开，其中：</w:t>
      </w:r>
    </w:p>
    <w:p>
      <w:pPr>
        <w:keepNext w:val="0"/>
        <w:keepLines w:val="0"/>
        <w:pageBreakBefore w:val="0"/>
        <w:widowControl w:val="0"/>
        <w:kinsoku/>
        <w:wordWrap/>
        <w:overflowPunct/>
        <w:topLinePunct w:val="0"/>
        <w:bidi w:val="0"/>
        <w:adjustRightInd/>
        <w:snapToGrid/>
        <w:spacing w:line="240" w:lineRule="auto"/>
        <w:textAlignment w:val="auto"/>
        <w:rPr>
          <w:rFonts w:hint="default" w:ascii="仿宋_GB2312" w:eastAsia="仿宋_GB2312"/>
          <w:b/>
          <w:bCs/>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    2080505 机关事业单位基本养老保险缴费支出80.25万元;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2110605 退耕还林工程建设2,120.00万元;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2110699 其他退耕还林还草支出3,077.47万元;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2130119 防灾救灾24.75万元;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2130209 森林生态效益补偿118.42万元;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2130234 林业草原防灾减灾91.13万元;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2130236 草原管理5.00万元;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2130299 其他林业和草原支出12.48万元;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2130505 生产发展6,712.29万元;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2139999 其他农林水支出5,897.01万元;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2200101 行政运行686.29万元;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2200109 自然资源调查与确权登记115.77万元;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2200199 其他自然资源事务支出518.00万元;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2210201 住房公积金58.36万元;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2299901 其他支出35.00万元</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30870"/>
      <w:bookmarkStart w:id="17" w:name="_Toc11146"/>
      <w:r>
        <w:rPr>
          <w:rFonts w:hint="eastAsia" w:ascii="黑体" w:hAnsi="黑体" w:eastAsia="黑体" w:cs="宋体"/>
          <w:bCs/>
          <w:color w:val="auto"/>
          <w:kern w:val="0"/>
          <w:sz w:val="32"/>
          <w:szCs w:val="32"/>
          <w:highlight w:val="none"/>
          <w:lang w:eastAsia="zh-CN"/>
        </w:rPr>
        <w:t>六、一般公共预算财政拨款基本支出决算情况说明</w:t>
      </w:r>
      <w:bookmarkEnd w:id="16"/>
      <w:bookmarkEnd w:id="17"/>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2020年度一般公共预算财政拨款基本支出824.89万元，其中：</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人员经费799.87万元，包括：基本工资、津贴补贴、奖金、机关事业单位基本养老保险缴费、职工基本医疗保险缴费、公务员医疗补助缴费、其他社会保障缴费、住房公积金、其他工资福利支出、退休费、抚恤金、生活补助。</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公用经费25.02万元，包括：办公费、印刷费、手续费、邮电费、差旅费、维修（护）费、劳务费、委托业务费、公务用车运行维护费。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8" w:name="_Toc21518"/>
      <w:bookmarkStart w:id="19" w:name="_Toc7190"/>
      <w:r>
        <w:rPr>
          <w:rFonts w:hint="eastAsia" w:ascii="黑体" w:hAnsi="黑体" w:eastAsia="黑体" w:cs="宋体"/>
          <w:bCs/>
          <w:color w:val="auto"/>
          <w:kern w:val="0"/>
          <w:sz w:val="32"/>
          <w:szCs w:val="32"/>
          <w:highlight w:val="none"/>
          <w:lang w:eastAsia="zh-CN"/>
        </w:rPr>
        <w:t>七</w:t>
      </w:r>
      <w:r>
        <w:rPr>
          <w:rFonts w:hint="eastAsia" w:ascii="黑体" w:hAnsi="黑体" w:eastAsia="黑体" w:cs="宋体"/>
          <w:bCs/>
          <w:color w:val="auto"/>
          <w:kern w:val="0"/>
          <w:sz w:val="32"/>
          <w:szCs w:val="32"/>
          <w:highlight w:val="none"/>
        </w:rPr>
        <w:t>、一般公共预算</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bookmarkEnd w:id="18"/>
      <w:bookmarkEnd w:id="19"/>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val="en-US" w:eastAsia="zh-CN"/>
        </w:rPr>
        <w:t>2020年度一般公共预算“三公”经费支出决算7.72万元，比上年增加4.18万元，增长118.08%</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本年单位车辆老旧，下乡检查工作多，维修次数多，公务用车运行维护费用增加</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其中，因公出国（境）费支出0.00万元，占0.00%，比上年增加0.00万元，增长0.00%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本单位无因公出国预算资金安排</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公务用车购置及运行维护费支出7.72万元，占100%，比上年增加4.32万元，增长127.06%</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本年单位车辆老旧，下乡检查工作多，维修次数多，公务用车运行维护费用增加</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公务接待费支出0.00万元，占0%，比上年减少0.15万元，降低100.00%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2020 年疫情原因上级和其他单位减少外出公务，无公务接待费用支出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因公出国（境）费支出0.00万元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开支内容包括：</w:t>
      </w:r>
      <w:r>
        <w:rPr>
          <w:rFonts w:hint="eastAsia" w:ascii="仿宋_GB2312" w:eastAsia="仿宋_GB2312"/>
          <w:color w:val="auto"/>
          <w:sz w:val="32"/>
          <w:szCs w:val="32"/>
          <w:highlight w:val="none"/>
          <w:lang w:val="en-US" w:eastAsia="zh-CN"/>
        </w:rPr>
        <w:t>本单位无因公出国预算资金安排</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公务用车购置及运行维护费7.72万元，其中，公务用车购置费0.00万元，公务用车运行维护费7.72万元。</w:t>
      </w:r>
      <w:r>
        <w:rPr>
          <w:rFonts w:hint="eastAsia" w:ascii="仿宋_GB2312" w:eastAsia="仿宋_GB2312"/>
          <w:color w:val="auto"/>
          <w:sz w:val="32"/>
          <w:szCs w:val="32"/>
          <w:highlight w:val="none"/>
        </w:rPr>
        <w:t>公务用车运行维护费开支内容包括</w:t>
      </w:r>
      <w:r>
        <w:rPr>
          <w:rFonts w:hint="eastAsia" w:ascii="仿宋_GB2312" w:eastAsia="仿宋_GB2312"/>
          <w:color w:val="auto"/>
          <w:sz w:val="32"/>
          <w:szCs w:val="32"/>
          <w:highlight w:val="none"/>
          <w:lang w:val="en-US" w:eastAsia="zh-CN"/>
        </w:rPr>
        <w:t>车辆保险费、车辆养护费、车辆维修费、车辆燃油费</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公务用车购置数0辆，公务用车保有量3辆。</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公务接待费0.00万元</w:t>
      </w:r>
      <w:r>
        <w:rPr>
          <w:rFonts w:hint="eastAsia" w:ascii="仿宋_GB2312" w:eastAsia="仿宋_GB2312"/>
          <w:color w:val="auto"/>
          <w:sz w:val="32"/>
          <w:szCs w:val="32"/>
          <w:highlight w:val="none"/>
        </w:rPr>
        <w:t>，开支内容包括</w:t>
      </w:r>
      <w:r>
        <w:rPr>
          <w:rFonts w:hint="eastAsia" w:ascii="仿宋_GB2312" w:eastAsia="仿宋_GB2312"/>
          <w:color w:val="auto"/>
          <w:sz w:val="32"/>
          <w:szCs w:val="32"/>
          <w:highlight w:val="none"/>
          <w:lang w:val="en-US" w:eastAsia="zh-CN"/>
        </w:rPr>
        <w:t>本年无公务接待费预算资金安排，无此项支出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与年初预算数相比情况：一般公共预算“三公”经费支出年初预算数7.75万元，决算数7.72万元，预决算差异率-0.39%</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严格执行中央八项规定精神及其实施细则和精打细算过紧日子，加强支出管理，严控“三公”经费 支出，与年初预算持平</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其中：因公出国（境）费预算数0.00万元，决算数0.00万元，预决算差异率0.00%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本年无因公出国预算资金安排，预决算无差异</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公务用车购置费预算数0.00万元，决算数0.00万元，预决算差异率0.00%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本年无购置车辆预算安排，预决算无差异</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公务用车运行费预算数7.75万元，决算数7.72万元，预决算差异率-0.39%</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严格按照预算执行，精打细算过紧日子，实行公务用车改革后，公务用车运行维护费用减少</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公务接待费预算数0.00万元，决算数0.00万元，预决算差异率0.00%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本年无公务接待预算资金安排，决算与预算持平</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0" w:name="_Toc7927"/>
      <w:bookmarkStart w:id="21" w:name="_Toc5810"/>
      <w:r>
        <w:rPr>
          <w:rFonts w:hint="eastAsia" w:ascii="黑体" w:hAnsi="黑体" w:eastAsia="黑体" w:cs="宋体"/>
          <w:bCs/>
          <w:color w:val="auto"/>
          <w:kern w:val="0"/>
          <w:sz w:val="32"/>
          <w:szCs w:val="32"/>
          <w:highlight w:val="none"/>
          <w:lang w:eastAsia="zh-CN"/>
        </w:rPr>
        <w:t>八、政府性基金预算收入支出决算情况说明</w:t>
      </w:r>
      <w:bookmarkEnd w:id="20"/>
      <w:bookmarkEnd w:id="21"/>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2020年度政府性基金预算财政拨款收入571.55万元，与上年相比，增加392.77万元，增长219.69%，主要原因是：本年增加国有土地征地拆迁补偿项目资金。政府性基金预算支出571.55万元。与上年相比，增加392.77万元，增长219.69%，主要原因是：本年增加国有土地征地拆迁补偿项目资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九、国有资本经营预算财政拨款收入支出决算情况说明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我单位本年度无国有资本经营预算财政拨款收入支出，国有资本经营预算财政拨款收入支出决算表为空表。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2" w:name="_Toc1235"/>
      <w:bookmarkStart w:id="23" w:name="_Toc7314"/>
      <w:r>
        <w:rPr>
          <w:rFonts w:hint="eastAsia" w:ascii="黑体" w:hAnsi="黑体" w:eastAsia="黑体" w:cs="宋体"/>
          <w:bCs/>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olor w:val="auto"/>
          <w:sz w:val="32"/>
          <w:szCs w:val="32"/>
          <w:highlight w:val="none"/>
        </w:rPr>
      </w:pPr>
      <w:bookmarkStart w:id="24" w:name="_Toc14519"/>
      <w:bookmarkStart w:id="25"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4"/>
      <w:bookmarkEnd w:id="25"/>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pacing w:val="0"/>
          <w:sz w:val="32"/>
          <w:szCs w:val="32"/>
          <w:highlight w:val="none"/>
          <w:lang w:val="en-US" w:eastAsia="zh-CN"/>
        </w:rPr>
        <w:t>2020年度新疆喀什地区疏勒县自然资源局（行政单位和参照公务员法管理事业单位）机关运行经费支出25.02万元，比上年减少1.80万元，降低6.71%</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厉行节约，精打细算过紧日子，保障单位运行用于购买办公设备、货物和服务的各项资金及办公刷费、电费等支出减少</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olor w:val="auto"/>
          <w:sz w:val="32"/>
          <w:szCs w:val="32"/>
          <w:highlight w:val="none"/>
          <w:lang w:eastAsia="zh-CN"/>
        </w:rPr>
      </w:pPr>
      <w:bookmarkStart w:id="26" w:name="_Toc227"/>
      <w:bookmarkStart w:id="27" w:name="_Toc26704"/>
      <w:r>
        <w:rPr>
          <w:rFonts w:hint="eastAsia" w:ascii="黑体" w:hAnsi="黑体" w:eastAsia="黑体"/>
          <w:color w:val="auto"/>
          <w:sz w:val="32"/>
          <w:szCs w:val="32"/>
          <w:highlight w:val="none"/>
          <w:lang w:eastAsia="zh-CN"/>
        </w:rPr>
        <w:t>（二）政府采购情况</w:t>
      </w:r>
      <w:bookmarkEnd w:id="26"/>
      <w:bookmarkEnd w:id="27"/>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val="en-US" w:eastAsia="zh-CN"/>
        </w:rPr>
        <w:t>2020年度政府采购支出总额11,637.05万元，其中：政府采购货物支出11,289.05万元、政府采购工程支出0.00万元、政府采购服务支出348.00万元。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bookmarkStart w:id="28" w:name="_Toc8391"/>
      <w:bookmarkStart w:id="29" w:name="_Toc4591"/>
      <w:r>
        <w:rPr>
          <w:rFonts w:hint="eastAsia" w:ascii="仿宋_GB2312" w:eastAsia="仿宋_GB2312"/>
          <w:color w:val="auto"/>
          <w:spacing w:val="0"/>
          <w:sz w:val="32"/>
          <w:szCs w:val="32"/>
          <w:highlight w:val="none"/>
          <w:lang w:val="en-US" w:eastAsia="zh-CN"/>
        </w:rPr>
        <w:t>授予中小企业合同金额11,637.05万元，占政府采购支出总额的100%，其中：授予小微企业合同金额11,637.05万元，占政府采购支出总额的100.00%。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（三）国有资产占用情况说明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截止2020年12月31日，单位共有房屋0.00（平方米），价值0.00万元。车辆3辆，价值54.72万元，其中：副部（省）级及以上领导用车0辆、主要领导干部用车0辆、机要通信用车0辆、应急保障用车0辆、执法执勤用车0辆、特种专业技术用车0辆、离退休干部用车0辆、其他用车3辆</w:t>
      </w:r>
      <w:r>
        <w:rPr>
          <w:rFonts w:hint="eastAsia" w:ascii="仿宋_GB2312" w:eastAsia="仿宋_GB2312"/>
          <w:color w:val="auto"/>
          <w:sz w:val="32"/>
          <w:szCs w:val="32"/>
          <w:highlight w:val="none"/>
        </w:rPr>
        <w:t>，其他用车主要是：</w:t>
      </w:r>
      <w:r>
        <w:rPr>
          <w:rFonts w:hint="eastAsia" w:ascii="仿宋_GB2312" w:eastAsia="仿宋_GB2312"/>
          <w:color w:val="auto"/>
          <w:sz w:val="32"/>
          <w:szCs w:val="32"/>
          <w:highlight w:val="none"/>
          <w:lang w:val="en-US" w:eastAsia="zh-CN"/>
        </w:rPr>
        <w:t>一般应急管理用车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单位价值50万元以上通用设备0台（套）、单位价值100万元以上专用设备0台（套）。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30" w:name="_Toc11283"/>
      <w:bookmarkStart w:id="31" w:name="_Toc435"/>
      <w:r>
        <w:rPr>
          <w:rFonts w:hint="eastAsia" w:ascii="黑体" w:hAnsi="黑体" w:eastAsia="黑体" w:cs="宋体"/>
          <w:bCs/>
          <w:kern w:val="0"/>
          <w:sz w:val="32"/>
          <w:szCs w:val="32"/>
          <w:highlight w:val="none"/>
          <w:lang w:eastAsia="zh-CN"/>
        </w:rPr>
        <w:t>十一</w:t>
      </w:r>
      <w:r>
        <w:rPr>
          <w:rFonts w:hint="eastAsia" w:ascii="黑体" w:hAnsi="黑体" w:eastAsia="黑体" w:cs="宋体"/>
          <w:bCs/>
          <w:color w:val="auto"/>
          <w:kern w:val="0"/>
          <w:sz w:val="32"/>
          <w:szCs w:val="32"/>
          <w:highlight w:val="none"/>
          <w:lang w:eastAsia="zh-CN"/>
        </w:rPr>
        <w:t>、预算绩效的情况说明</w:t>
      </w:r>
      <w:bookmarkEnd w:id="30"/>
      <w:bookmarkEnd w:id="31"/>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根据预算绩效管理要求，我单位</w:t>
      </w:r>
      <w:r>
        <w:rPr>
          <w:rFonts w:hint="eastAsia" w:ascii="仿宋_GB2312" w:eastAsia="仿宋_GB2312"/>
          <w:color w:val="auto"/>
          <w:sz w:val="32"/>
          <w:szCs w:val="32"/>
          <w:highlight w:val="none"/>
          <w:lang w:val="en-US" w:eastAsia="zh-CN"/>
        </w:rPr>
        <w:t>2020</w:t>
      </w:r>
      <w:r>
        <w:rPr>
          <w:rFonts w:hint="eastAsia" w:ascii="仿宋_GB2312" w:eastAsia="仿宋_GB2312"/>
          <w:color w:val="auto"/>
          <w:sz w:val="32"/>
          <w:szCs w:val="32"/>
          <w:highlight w:val="none"/>
          <w:lang w:eastAsia="zh-CN"/>
        </w:rPr>
        <w:t>年度开展预算绩效评价项目</w:t>
      </w:r>
      <w:r>
        <w:rPr>
          <w:rFonts w:hint="eastAsia" w:ascii="仿宋_GB2312" w:eastAsia="仿宋_GB2312"/>
          <w:color w:val="auto"/>
          <w:sz w:val="32"/>
          <w:szCs w:val="32"/>
          <w:highlight w:val="none"/>
          <w:lang w:val="en-US" w:eastAsia="zh-CN"/>
        </w:rPr>
        <w:t>29</w:t>
      </w:r>
      <w:r>
        <w:rPr>
          <w:rFonts w:hint="eastAsia" w:ascii="仿宋_GB2312" w:eastAsia="仿宋_GB2312"/>
          <w:color w:val="auto"/>
          <w:sz w:val="32"/>
          <w:szCs w:val="32"/>
          <w:highlight w:val="none"/>
          <w:lang w:eastAsia="zh-CN"/>
        </w:rPr>
        <w:t>个，共涉及资金</w:t>
      </w:r>
      <w:r>
        <w:rPr>
          <w:rFonts w:hint="eastAsia" w:ascii="仿宋_GB2312" w:eastAsia="仿宋_GB2312"/>
          <w:color w:val="auto"/>
          <w:sz w:val="32"/>
          <w:szCs w:val="32"/>
          <w:highlight w:val="none"/>
          <w:lang w:val="en-US" w:eastAsia="zh-CN"/>
        </w:rPr>
        <w:t>21202.10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color w:val="auto"/>
          <w:sz w:val="32"/>
          <w:szCs w:val="32"/>
          <w:highlight w:val="none"/>
          <w:lang w:val="en-US" w:eastAsia="zh-CN"/>
        </w:rPr>
        <w:t>一是项目实施前期，做好细化实施方案，严格执行资金管理办法和财政资金管理制度，严格按照项目实施方案、招投标管理办法等稳步推进工作，手续合法、程序到位、运作规范；二是及时对项目实施的档案整理及归纳，健全档案资料</w:t>
      </w:r>
      <w:r>
        <w:rPr>
          <w:rFonts w:hint="eastAsia" w:ascii="仿宋_GB2312" w:eastAsia="仿宋_GB2312"/>
          <w:color w:val="auto"/>
          <w:sz w:val="32"/>
          <w:szCs w:val="32"/>
          <w:highlight w:val="none"/>
          <w:lang w:eastAsia="zh-CN"/>
        </w:rPr>
        <w:t>。发现的问题及原因：</w:t>
      </w:r>
      <w:r>
        <w:rPr>
          <w:rFonts w:hint="eastAsia" w:ascii="仿宋_GB2312" w:eastAsia="仿宋_GB2312"/>
          <w:color w:val="auto"/>
          <w:sz w:val="32"/>
          <w:szCs w:val="32"/>
          <w:highlight w:val="none"/>
          <w:lang w:val="en-US" w:eastAsia="zh-CN"/>
        </w:rPr>
        <w:t>通过预算绩效管理，发现了工作中存在的不足：①验收未及时完成：因疫情导致该项目验收推迟，导致项目质量验收合格率未完成。②资金未拨付完毕：疏勒县增减挂资金未完全到位，导致本项目未支付完毕，资金按时拨付到位率未完成</w:t>
      </w:r>
      <w:r>
        <w:rPr>
          <w:rFonts w:hint="eastAsia" w:ascii="仿宋_GB2312" w:eastAsia="仿宋_GB2312"/>
          <w:color w:val="auto"/>
          <w:sz w:val="32"/>
          <w:szCs w:val="32"/>
          <w:highlight w:val="none"/>
          <w:lang w:eastAsia="zh-CN"/>
        </w:rPr>
        <w:t>。下一步改进措施：</w:t>
      </w:r>
      <w:r>
        <w:rPr>
          <w:rFonts w:hint="eastAsia" w:ascii="仿宋_GB2312" w:eastAsia="仿宋_GB2312"/>
          <w:color w:val="auto"/>
          <w:sz w:val="32"/>
          <w:szCs w:val="32"/>
          <w:highlight w:val="none"/>
          <w:lang w:val="en-US" w:eastAsia="zh-CN"/>
        </w:rPr>
        <w:t>一是系统还需要完善，及时更新数据库；二是加强软件维护和各主要部门的沟通，及时处理信息，保障信息主渠道的安全畅通，提高工作的效率和质量</w:t>
      </w:r>
      <w:r>
        <w:rPr>
          <w:rFonts w:hint="eastAsia" w:ascii="仿宋_GB2312" w:eastAsia="仿宋_GB2312"/>
          <w:color w:val="auto"/>
          <w:sz w:val="32"/>
          <w:szCs w:val="32"/>
          <w:highlight w:val="none"/>
          <w:lang w:eastAsia="zh-CN"/>
        </w:rPr>
        <w:t>。具体</w:t>
      </w:r>
      <w:bookmarkStart w:id="52" w:name="_GoBack"/>
      <w:bookmarkEnd w:id="52"/>
      <w:r>
        <w:rPr>
          <w:rFonts w:hint="eastAsia" w:ascii="仿宋_GB2312" w:eastAsia="仿宋_GB2312"/>
          <w:color w:val="auto"/>
          <w:sz w:val="32"/>
          <w:szCs w:val="32"/>
          <w:highlight w:val="none"/>
        </w:rPr>
        <w:t>项目自评情况附项目支出绩效自评表。</w:t>
      </w:r>
    </w:p>
    <w:p>
      <w:pPr>
        <w:keepNext w:val="0"/>
        <w:keepLines w:val="0"/>
        <w:pageBreakBefore w:val="0"/>
        <w:widowControl w:val="0"/>
        <w:kinsoku/>
        <w:wordWrap/>
        <w:overflowPunct/>
        <w:topLinePunct w:val="0"/>
        <w:bidi w:val="0"/>
        <w:adjustRightInd/>
        <w:snapToGrid/>
        <w:spacing w:line="240" w:lineRule="auto"/>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rPr>
      </w:pPr>
      <w:bookmarkStart w:id="32" w:name="_Toc3250"/>
      <w:bookmarkStart w:id="33" w:name="_Toc24143"/>
      <w:bookmarkStart w:id="34" w:name="_Toc22784"/>
      <w:bookmarkStart w:id="35" w:name="_Toc28903"/>
      <w:r>
        <w:rPr>
          <w:rFonts w:hint="eastAsia" w:ascii="黑体" w:hAnsi="黑体" w:eastAsia="黑体"/>
          <w:sz w:val="32"/>
          <w:szCs w:val="32"/>
          <w:highlight w:val="none"/>
        </w:rPr>
        <w:t>第三部分 专业名词解释</w:t>
      </w:r>
      <w:bookmarkEnd w:id="32"/>
      <w:bookmarkEnd w:id="33"/>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财政拨款收入：指同级财政当年拨付的资金。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附属单位上缴收入：指事业单位附属的独立核算单位按有关规定上缴的收入。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其他收入：指除上述“财政拨款收入”、“事业收入”、“经营收入”、“附属单位上缴收入”等之外取得的收入。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eastAsia="zh-CN"/>
        </w:rPr>
        <w:t>年初</w:t>
      </w:r>
      <w:r>
        <w:rPr>
          <w:rFonts w:hint="eastAsia" w:ascii="仿宋_GB2312" w:eastAsia="仿宋_GB2312"/>
          <w:sz w:val="32"/>
          <w:szCs w:val="32"/>
          <w:highlight w:val="none"/>
        </w:rPr>
        <w:t>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“三公”经费：指用一般公共预算财政拨款安排的因公出国（境）费、公务用车购置及运行费和公务接待费。其中，因公出国（境）费反映单位公务出国（境）的</w:t>
      </w:r>
      <w:r>
        <w:rPr>
          <w:rFonts w:hint="eastAsia" w:ascii="仿宋_GB2312" w:eastAsia="仿宋_GB2312"/>
          <w:sz w:val="32"/>
          <w:szCs w:val="32"/>
          <w:highlight w:val="none"/>
          <w:lang w:eastAsia="zh-CN"/>
        </w:rPr>
        <w:t>国际旅费、国外城市间交通费、</w:t>
      </w:r>
      <w:r>
        <w:rPr>
          <w:rFonts w:hint="eastAsia" w:ascii="仿宋_GB2312" w:eastAsia="仿宋_GB2312"/>
          <w:sz w:val="32"/>
          <w:szCs w:val="32"/>
          <w:highlight w:val="none"/>
        </w:rPr>
        <w:t>住宿费、伙食费、培训费、</w:t>
      </w:r>
      <w:r>
        <w:rPr>
          <w:rFonts w:hint="eastAsia" w:ascii="仿宋_GB2312" w:eastAsia="仿宋_GB2312"/>
          <w:sz w:val="32"/>
          <w:szCs w:val="32"/>
          <w:highlight w:val="none"/>
          <w:lang w:eastAsia="zh-CN"/>
        </w:rPr>
        <w:t>公</w:t>
      </w:r>
      <w:r>
        <w:rPr>
          <w:rFonts w:hint="eastAsia" w:ascii="仿宋_GB2312" w:eastAsia="仿宋_GB2312"/>
          <w:sz w:val="32"/>
          <w:szCs w:val="32"/>
          <w:highlight w:val="none"/>
        </w:rPr>
        <w:t>杂费等支出；公务用车购置费</w:t>
      </w:r>
      <w:r>
        <w:rPr>
          <w:rFonts w:hint="eastAsia" w:ascii="仿宋_GB2312" w:eastAsia="仿宋_GB2312"/>
          <w:sz w:val="32"/>
          <w:szCs w:val="32"/>
          <w:highlight w:val="none"/>
          <w:lang w:eastAsia="zh-CN"/>
        </w:rPr>
        <w:t>反映公务用车购置支出（含车辆购置税、牌照费）；</w:t>
      </w:r>
      <w:r>
        <w:rPr>
          <w:rFonts w:hint="eastAsia" w:ascii="仿宋_GB2312" w:eastAsia="仿宋_GB2312"/>
          <w:sz w:val="32"/>
          <w:szCs w:val="32"/>
          <w:highlight w:val="none"/>
        </w:rPr>
        <w:t>公务用车运行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费反映</w:t>
      </w:r>
      <w:r>
        <w:rPr>
          <w:rFonts w:hint="eastAsia" w:ascii="仿宋_GB2312" w:eastAsia="仿宋_GB2312"/>
          <w:sz w:val="32"/>
          <w:szCs w:val="32"/>
          <w:highlight w:val="none"/>
          <w:lang w:eastAsia="zh-CN"/>
        </w:rPr>
        <w:t>单位按规定保留的公务用车燃料费、维修费、</w:t>
      </w:r>
      <w:r>
        <w:rPr>
          <w:rFonts w:hint="eastAsia" w:ascii="仿宋_GB2312" w:eastAsia="仿宋_GB2312"/>
          <w:sz w:val="32"/>
          <w:szCs w:val="32"/>
          <w:highlight w:val="none"/>
        </w:rPr>
        <w:t>过路过桥费、保险费、安全奖励费用等支出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公务接待费反映单位按规定开支的各类公务接待（含外宾接待）</w:t>
      </w:r>
      <w:r>
        <w:rPr>
          <w:rFonts w:hint="eastAsia" w:ascii="仿宋_GB2312" w:eastAsia="仿宋_GB2312"/>
          <w:sz w:val="32"/>
          <w:szCs w:val="32"/>
          <w:highlight w:val="none"/>
          <w:lang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adjustRightInd/>
        <w:snapToGrid/>
        <w:spacing w:line="240" w:lineRule="auto"/>
        <w:jc w:val="both"/>
        <w:textAlignment w:val="auto"/>
        <w:rPr>
          <w:rFonts w:hint="eastAsia" w:ascii="仿宋_GB2312" w:eastAsia="仿宋_GB2312"/>
          <w:sz w:val="32"/>
          <w:szCs w:val="32"/>
          <w:highlight w:val="none"/>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第四部分 部门决算报表（见附表）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6" w:name="_Toc6062"/>
      <w:bookmarkStart w:id="37" w:name="_Toc2183"/>
      <w:r>
        <w:rPr>
          <w:rFonts w:hint="eastAsia" w:ascii="黑体" w:hAnsi="黑体" w:eastAsia="黑体" w:cs="宋体"/>
          <w:bCs/>
          <w:kern w:val="0"/>
          <w:sz w:val="32"/>
          <w:szCs w:val="32"/>
          <w:highlight w:val="none"/>
        </w:rPr>
        <w:t>一、《收入支出决算总表》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8" w:name="_Toc24532"/>
      <w:bookmarkStart w:id="39" w:name="_Toc30364"/>
      <w:r>
        <w:rPr>
          <w:rFonts w:hint="eastAsia" w:ascii="黑体" w:hAnsi="黑体" w:eastAsia="黑体" w:cs="宋体"/>
          <w:bCs/>
          <w:kern w:val="0"/>
          <w:sz w:val="32"/>
          <w:szCs w:val="32"/>
          <w:highlight w:val="none"/>
        </w:rPr>
        <w:t>二、《收入决算表》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0" w:name="_Toc32434"/>
      <w:bookmarkStart w:id="41" w:name="_Toc21304"/>
      <w:r>
        <w:rPr>
          <w:rFonts w:hint="eastAsia" w:ascii="黑体" w:hAnsi="黑体" w:eastAsia="黑体" w:cs="宋体"/>
          <w:bCs/>
          <w:kern w:val="0"/>
          <w:sz w:val="32"/>
          <w:szCs w:val="32"/>
          <w:highlight w:val="none"/>
        </w:rPr>
        <w:t>三、《支出决算表》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2" w:name="_Toc28786"/>
      <w:bookmarkStart w:id="43" w:name="_Toc14238"/>
      <w:r>
        <w:rPr>
          <w:rFonts w:hint="eastAsia" w:ascii="黑体" w:hAnsi="黑体" w:eastAsia="黑体" w:cs="宋体"/>
          <w:bCs/>
          <w:kern w:val="0"/>
          <w:sz w:val="32"/>
          <w:szCs w:val="32"/>
          <w:highlight w:val="none"/>
        </w:rPr>
        <w:t>四、《财政拨款收入支出决算总表》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4" w:name="_Toc14869"/>
      <w:bookmarkStart w:id="45" w:name="_Toc10347"/>
      <w:r>
        <w:rPr>
          <w:rFonts w:hint="eastAsia" w:ascii="黑体" w:hAnsi="黑体" w:eastAsia="黑体" w:cs="宋体"/>
          <w:bCs/>
          <w:kern w:val="0"/>
          <w:sz w:val="32"/>
          <w:szCs w:val="32"/>
          <w:highlight w:val="none"/>
        </w:rPr>
        <w:t>五、《一般公共预算财政拨款支出决算表》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6" w:name="_Toc5626"/>
      <w:bookmarkStart w:id="47" w:name="_Toc8884"/>
      <w:r>
        <w:rPr>
          <w:rFonts w:hint="eastAsia" w:ascii="黑体" w:hAnsi="黑体" w:eastAsia="黑体" w:cs="宋体"/>
          <w:bCs/>
          <w:kern w:val="0"/>
          <w:sz w:val="32"/>
          <w:szCs w:val="32"/>
          <w:highlight w:val="none"/>
        </w:rPr>
        <w:t>六、《一般公共预算财政拨款基本支出决算表》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8" w:name="_Toc29106"/>
      <w:bookmarkStart w:id="49" w:name="_Toc32663"/>
      <w:r>
        <w:rPr>
          <w:rFonts w:hint="eastAsia" w:ascii="黑体" w:hAnsi="黑体" w:eastAsia="黑体" w:cs="宋体"/>
          <w:bCs/>
          <w:kern w:val="0"/>
          <w:sz w:val="32"/>
          <w:szCs w:val="32"/>
          <w:highlight w:val="none"/>
        </w:rPr>
        <w:t>七、《一般公共预算财政拨款“三公”经费支出决算表》</w:t>
      </w:r>
      <w:bookmarkEnd w:id="48"/>
      <w:bookmarkEnd w:id="4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50" w:name="_Toc7643"/>
      <w:bookmarkStart w:id="51" w:name="_Toc5453"/>
      <w:r>
        <w:rPr>
          <w:rFonts w:hint="eastAsia" w:ascii="黑体" w:hAnsi="黑体" w:eastAsia="黑体" w:cs="宋体"/>
          <w:bCs/>
          <w:kern w:val="0"/>
          <w:sz w:val="32"/>
          <w:szCs w:val="32"/>
          <w:highlight w:val="none"/>
        </w:rPr>
        <w:t>八、《政府性基金预算财政拨款收入支出决算表》</w:t>
      </w:r>
      <w:bookmarkEnd w:id="50"/>
      <w:bookmarkEnd w:id="5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kern w:val="0"/>
          <w:sz w:val="32"/>
          <w:szCs w:val="32"/>
          <w:highlight w:val="none"/>
          <w:lang w:eastAsia="zh-CN"/>
        </w:rPr>
        <w:t>九</w:t>
      </w:r>
      <w:r>
        <w:rPr>
          <w:rFonts w:hint="eastAsia" w:ascii="黑体" w:hAnsi="黑体" w:eastAsia="黑体" w:cs="宋体"/>
          <w:bCs/>
          <w:kern w:val="0"/>
          <w:sz w:val="32"/>
          <w:szCs w:val="32"/>
          <w:highlight w:val="none"/>
        </w:rPr>
        <w:t>、《</w:t>
      </w:r>
      <w:r>
        <w:rPr>
          <w:rFonts w:hint="eastAsia" w:ascii="黑体" w:hAnsi="黑体" w:eastAsia="黑体" w:cs="宋体"/>
          <w:bCs/>
          <w:kern w:val="0"/>
          <w:sz w:val="32"/>
          <w:szCs w:val="32"/>
          <w:highlight w:val="none"/>
          <w:lang w:eastAsia="zh-CN"/>
        </w:rPr>
        <w:t>国有资本经营</w:t>
      </w:r>
      <w:r>
        <w:rPr>
          <w:rFonts w:hint="eastAsia" w:ascii="黑体" w:hAnsi="黑体" w:eastAsia="黑体" w:cs="宋体"/>
          <w:bCs/>
          <w:kern w:val="0"/>
          <w:sz w:val="32"/>
          <w:szCs w:val="32"/>
          <w:highlight w:val="none"/>
        </w:rPr>
        <w:t>预算财政拨款收入支出决算表》</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方正小标宋_GBK">
    <w:altName w:val="宋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AmzV+cvQEAAGIDAAAOAAAAAAAAAAEAIAAAAB4BAABkcnMvZTJvRG9jLnhtbFBLBQYAAAAA&#10;BgAGAFkBAABN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1169A"/>
    <w:rsid w:val="01734C27"/>
    <w:rsid w:val="01DD6073"/>
    <w:rsid w:val="02014C29"/>
    <w:rsid w:val="02890C73"/>
    <w:rsid w:val="04044ED1"/>
    <w:rsid w:val="041C5E18"/>
    <w:rsid w:val="04AA63C1"/>
    <w:rsid w:val="04EE377F"/>
    <w:rsid w:val="051C631E"/>
    <w:rsid w:val="0562142B"/>
    <w:rsid w:val="06792773"/>
    <w:rsid w:val="074F280E"/>
    <w:rsid w:val="075B1482"/>
    <w:rsid w:val="075F768F"/>
    <w:rsid w:val="07BA7C7F"/>
    <w:rsid w:val="07C3443C"/>
    <w:rsid w:val="08476613"/>
    <w:rsid w:val="084876D1"/>
    <w:rsid w:val="09026D66"/>
    <w:rsid w:val="090B11F4"/>
    <w:rsid w:val="0A2E4EB6"/>
    <w:rsid w:val="0A611FB0"/>
    <w:rsid w:val="0A6D05E4"/>
    <w:rsid w:val="0AC520F0"/>
    <w:rsid w:val="0B21162A"/>
    <w:rsid w:val="0B557DD5"/>
    <w:rsid w:val="0BED1442"/>
    <w:rsid w:val="0C595DFB"/>
    <w:rsid w:val="0C7A5D15"/>
    <w:rsid w:val="0CD00AF9"/>
    <w:rsid w:val="0CFEBB4E"/>
    <w:rsid w:val="0D0A4F7E"/>
    <w:rsid w:val="0D0B27DC"/>
    <w:rsid w:val="0D7C3599"/>
    <w:rsid w:val="0E003458"/>
    <w:rsid w:val="0E1F036C"/>
    <w:rsid w:val="0EB33F18"/>
    <w:rsid w:val="0F1410FB"/>
    <w:rsid w:val="0F923480"/>
    <w:rsid w:val="1056158D"/>
    <w:rsid w:val="10F929CB"/>
    <w:rsid w:val="10FF31A4"/>
    <w:rsid w:val="1142269D"/>
    <w:rsid w:val="11450985"/>
    <w:rsid w:val="11CA45A9"/>
    <w:rsid w:val="11E8712A"/>
    <w:rsid w:val="11FE3AAA"/>
    <w:rsid w:val="122451E5"/>
    <w:rsid w:val="126B62A8"/>
    <w:rsid w:val="12951F13"/>
    <w:rsid w:val="12B1037D"/>
    <w:rsid w:val="12CC4CD9"/>
    <w:rsid w:val="13326CE6"/>
    <w:rsid w:val="14284AED"/>
    <w:rsid w:val="15CF1AC0"/>
    <w:rsid w:val="17083B88"/>
    <w:rsid w:val="1742163F"/>
    <w:rsid w:val="176E53C3"/>
    <w:rsid w:val="1805797E"/>
    <w:rsid w:val="18124080"/>
    <w:rsid w:val="182E453B"/>
    <w:rsid w:val="189A656F"/>
    <w:rsid w:val="198202DA"/>
    <w:rsid w:val="19AF7A44"/>
    <w:rsid w:val="1A6109EF"/>
    <w:rsid w:val="1B424E9E"/>
    <w:rsid w:val="1BB07761"/>
    <w:rsid w:val="1C2A54A9"/>
    <w:rsid w:val="1C3737FD"/>
    <w:rsid w:val="1C88403A"/>
    <w:rsid w:val="1CB729A5"/>
    <w:rsid w:val="1CC56B97"/>
    <w:rsid w:val="1D34682A"/>
    <w:rsid w:val="1D4A73D5"/>
    <w:rsid w:val="1D9C2D67"/>
    <w:rsid w:val="1DAF458D"/>
    <w:rsid w:val="1DE34574"/>
    <w:rsid w:val="1F77716A"/>
    <w:rsid w:val="1F825A11"/>
    <w:rsid w:val="206034DD"/>
    <w:rsid w:val="20DF6845"/>
    <w:rsid w:val="233B4784"/>
    <w:rsid w:val="233E5923"/>
    <w:rsid w:val="236A6149"/>
    <w:rsid w:val="23B146B9"/>
    <w:rsid w:val="240038BA"/>
    <w:rsid w:val="240A65B7"/>
    <w:rsid w:val="263D5951"/>
    <w:rsid w:val="265E582C"/>
    <w:rsid w:val="26E147D1"/>
    <w:rsid w:val="27004B43"/>
    <w:rsid w:val="27B248A0"/>
    <w:rsid w:val="283F1644"/>
    <w:rsid w:val="287C6FB4"/>
    <w:rsid w:val="28B4796C"/>
    <w:rsid w:val="29770D57"/>
    <w:rsid w:val="29A000F0"/>
    <w:rsid w:val="29D21E13"/>
    <w:rsid w:val="2A053397"/>
    <w:rsid w:val="2AB554B8"/>
    <w:rsid w:val="2B0377CD"/>
    <w:rsid w:val="2B6B66AA"/>
    <w:rsid w:val="2BFE2EF0"/>
    <w:rsid w:val="2C1E18A5"/>
    <w:rsid w:val="2C604703"/>
    <w:rsid w:val="2D1136DF"/>
    <w:rsid w:val="2D2B5CBF"/>
    <w:rsid w:val="2D8C755C"/>
    <w:rsid w:val="2DA02D04"/>
    <w:rsid w:val="2DFD193C"/>
    <w:rsid w:val="2E9F6859"/>
    <w:rsid w:val="2EC544A9"/>
    <w:rsid w:val="2F0C26B1"/>
    <w:rsid w:val="2F116303"/>
    <w:rsid w:val="2FC614E6"/>
    <w:rsid w:val="30236790"/>
    <w:rsid w:val="30802486"/>
    <w:rsid w:val="31175173"/>
    <w:rsid w:val="314D12BC"/>
    <w:rsid w:val="316F250C"/>
    <w:rsid w:val="31BD13AC"/>
    <w:rsid w:val="31C63837"/>
    <w:rsid w:val="32082F98"/>
    <w:rsid w:val="32A6143E"/>
    <w:rsid w:val="336D09C0"/>
    <w:rsid w:val="354A37A9"/>
    <w:rsid w:val="36273CF4"/>
    <w:rsid w:val="36827C07"/>
    <w:rsid w:val="36AA5F52"/>
    <w:rsid w:val="36C058A7"/>
    <w:rsid w:val="36E000FD"/>
    <w:rsid w:val="374146AF"/>
    <w:rsid w:val="37D36EBD"/>
    <w:rsid w:val="399731E4"/>
    <w:rsid w:val="3ADE39A4"/>
    <w:rsid w:val="3AFB1A4C"/>
    <w:rsid w:val="3B610B0E"/>
    <w:rsid w:val="3BF672B3"/>
    <w:rsid w:val="3BF67B6E"/>
    <w:rsid w:val="3C530331"/>
    <w:rsid w:val="3CBB22B3"/>
    <w:rsid w:val="3CC7093B"/>
    <w:rsid w:val="3CC80DC0"/>
    <w:rsid w:val="3D1309DF"/>
    <w:rsid w:val="3D217D96"/>
    <w:rsid w:val="3D5275AC"/>
    <w:rsid w:val="3DED65A8"/>
    <w:rsid w:val="3DFE4E4B"/>
    <w:rsid w:val="3E160417"/>
    <w:rsid w:val="3E4F50AC"/>
    <w:rsid w:val="40161B73"/>
    <w:rsid w:val="4079165E"/>
    <w:rsid w:val="41AD1AA2"/>
    <w:rsid w:val="41B20E4F"/>
    <w:rsid w:val="41D31F00"/>
    <w:rsid w:val="42B76840"/>
    <w:rsid w:val="43316970"/>
    <w:rsid w:val="4421165A"/>
    <w:rsid w:val="44467526"/>
    <w:rsid w:val="44CF4655"/>
    <w:rsid w:val="45A87853"/>
    <w:rsid w:val="45AD0B65"/>
    <w:rsid w:val="46901EEE"/>
    <w:rsid w:val="469C74D2"/>
    <w:rsid w:val="46DC1114"/>
    <w:rsid w:val="46FA6D28"/>
    <w:rsid w:val="473F39FE"/>
    <w:rsid w:val="476D2E32"/>
    <w:rsid w:val="47801D21"/>
    <w:rsid w:val="47FF5A3B"/>
    <w:rsid w:val="48F9688C"/>
    <w:rsid w:val="490B0284"/>
    <w:rsid w:val="492D17D3"/>
    <w:rsid w:val="493A3870"/>
    <w:rsid w:val="4A1207ED"/>
    <w:rsid w:val="4A9D77CC"/>
    <w:rsid w:val="4AF5079B"/>
    <w:rsid w:val="4B345CA5"/>
    <w:rsid w:val="4B701753"/>
    <w:rsid w:val="4BEB2AE8"/>
    <w:rsid w:val="4C181618"/>
    <w:rsid w:val="4C6D3066"/>
    <w:rsid w:val="4CB3745D"/>
    <w:rsid w:val="4D391693"/>
    <w:rsid w:val="4DA93660"/>
    <w:rsid w:val="4DD406E5"/>
    <w:rsid w:val="4DF31F55"/>
    <w:rsid w:val="4E535897"/>
    <w:rsid w:val="4F195BC9"/>
    <w:rsid w:val="4F714843"/>
    <w:rsid w:val="4FCE528B"/>
    <w:rsid w:val="5004002B"/>
    <w:rsid w:val="500A528D"/>
    <w:rsid w:val="50D87915"/>
    <w:rsid w:val="50DB5F45"/>
    <w:rsid w:val="510B4945"/>
    <w:rsid w:val="511D7E14"/>
    <w:rsid w:val="51554269"/>
    <w:rsid w:val="516A2E8A"/>
    <w:rsid w:val="517134A1"/>
    <w:rsid w:val="51BB37A4"/>
    <w:rsid w:val="52163B23"/>
    <w:rsid w:val="523D322D"/>
    <w:rsid w:val="52C01CAC"/>
    <w:rsid w:val="530335BC"/>
    <w:rsid w:val="535F2703"/>
    <w:rsid w:val="549741F3"/>
    <w:rsid w:val="56146D24"/>
    <w:rsid w:val="56547F9B"/>
    <w:rsid w:val="568D63A8"/>
    <w:rsid w:val="569D71D3"/>
    <w:rsid w:val="570E289D"/>
    <w:rsid w:val="57211AEC"/>
    <w:rsid w:val="57AF4592"/>
    <w:rsid w:val="5813797A"/>
    <w:rsid w:val="58344842"/>
    <w:rsid w:val="588E1D40"/>
    <w:rsid w:val="58E4063C"/>
    <w:rsid w:val="58F356A0"/>
    <w:rsid w:val="58FB4926"/>
    <w:rsid w:val="5A8C5C64"/>
    <w:rsid w:val="5B0A3C7C"/>
    <w:rsid w:val="5C145D5F"/>
    <w:rsid w:val="5C8850C2"/>
    <w:rsid w:val="5DE43C4B"/>
    <w:rsid w:val="5E256662"/>
    <w:rsid w:val="5E8D0FF0"/>
    <w:rsid w:val="5EA92E5B"/>
    <w:rsid w:val="5F312B5A"/>
    <w:rsid w:val="5F3A544C"/>
    <w:rsid w:val="5F421F4F"/>
    <w:rsid w:val="5F932967"/>
    <w:rsid w:val="600C4334"/>
    <w:rsid w:val="607C007C"/>
    <w:rsid w:val="60EE637C"/>
    <w:rsid w:val="610F4386"/>
    <w:rsid w:val="610F76A0"/>
    <w:rsid w:val="613B2291"/>
    <w:rsid w:val="616F6C82"/>
    <w:rsid w:val="61C23CA5"/>
    <w:rsid w:val="625B5AF2"/>
    <w:rsid w:val="62A91F52"/>
    <w:rsid w:val="62B07C56"/>
    <w:rsid w:val="64350E40"/>
    <w:rsid w:val="64766BFD"/>
    <w:rsid w:val="647D0508"/>
    <w:rsid w:val="6537230D"/>
    <w:rsid w:val="656325C7"/>
    <w:rsid w:val="65BF2B26"/>
    <w:rsid w:val="65CF3090"/>
    <w:rsid w:val="65D57A52"/>
    <w:rsid w:val="668019BE"/>
    <w:rsid w:val="668147BE"/>
    <w:rsid w:val="66A71241"/>
    <w:rsid w:val="67CB7D39"/>
    <w:rsid w:val="69316E1A"/>
    <w:rsid w:val="69554902"/>
    <w:rsid w:val="69952C8D"/>
    <w:rsid w:val="69A94B4A"/>
    <w:rsid w:val="69AD798C"/>
    <w:rsid w:val="69C70FA3"/>
    <w:rsid w:val="69E5430E"/>
    <w:rsid w:val="6A197EE3"/>
    <w:rsid w:val="6A4F6540"/>
    <w:rsid w:val="6A733F65"/>
    <w:rsid w:val="6AAD748A"/>
    <w:rsid w:val="6B4F02DD"/>
    <w:rsid w:val="6B68175F"/>
    <w:rsid w:val="6B8E27EF"/>
    <w:rsid w:val="6C360AF8"/>
    <w:rsid w:val="6C6B3009"/>
    <w:rsid w:val="6C6B3214"/>
    <w:rsid w:val="6C747BB9"/>
    <w:rsid w:val="6D3D14C4"/>
    <w:rsid w:val="6DF26FFC"/>
    <w:rsid w:val="6E094282"/>
    <w:rsid w:val="6ED34999"/>
    <w:rsid w:val="6F29157B"/>
    <w:rsid w:val="6F531BF4"/>
    <w:rsid w:val="700F486D"/>
    <w:rsid w:val="701074C0"/>
    <w:rsid w:val="707F51EF"/>
    <w:rsid w:val="71833EC6"/>
    <w:rsid w:val="718D4E0D"/>
    <w:rsid w:val="71AE7AA3"/>
    <w:rsid w:val="71CA2249"/>
    <w:rsid w:val="721E4A5D"/>
    <w:rsid w:val="72EE56CB"/>
    <w:rsid w:val="73406D5B"/>
    <w:rsid w:val="738E33C3"/>
    <w:rsid w:val="73FB6630"/>
    <w:rsid w:val="750B5BF1"/>
    <w:rsid w:val="75B51FC0"/>
    <w:rsid w:val="75B60031"/>
    <w:rsid w:val="76DD091D"/>
    <w:rsid w:val="77466E92"/>
    <w:rsid w:val="774B26E2"/>
    <w:rsid w:val="77720CA8"/>
    <w:rsid w:val="77ED6F44"/>
    <w:rsid w:val="78224413"/>
    <w:rsid w:val="78FD1F20"/>
    <w:rsid w:val="79870A12"/>
    <w:rsid w:val="7A1C6325"/>
    <w:rsid w:val="7A7632AD"/>
    <w:rsid w:val="7AC8434A"/>
    <w:rsid w:val="7B3910B5"/>
    <w:rsid w:val="7B4C7884"/>
    <w:rsid w:val="7B902D83"/>
    <w:rsid w:val="7BAB7A6D"/>
    <w:rsid w:val="7D5B7B53"/>
    <w:rsid w:val="7D710817"/>
    <w:rsid w:val="7F8F3BEC"/>
    <w:rsid w:val="7FD64A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Chars="400"/>
    </w:pPr>
    <w:rPr>
      <w:rFonts w:ascii="Times New Roman" w:hAnsi="Times New Roman" w:eastAsia="宋体" w:cs="Times New Roman"/>
      <w:sz w:val="20"/>
      <w:szCs w:val="20"/>
    </w:rPr>
  </w:style>
  <w:style w:type="paragraph" w:customStyle="1" w:styleId="11">
    <w:name w:val="WPSOffice手动目录 2"/>
    <w:qFormat/>
    <w:uiPriority w:val="0"/>
    <w:pPr>
      <w:ind w:leftChars="200"/>
    </w:pPr>
    <w:rPr>
      <w:rFonts w:ascii="Times New Roman" w:hAnsi="Times New Roman" w:eastAsia="宋体" w:cs="Times New Roman"/>
      <w:sz w:val="20"/>
      <w:szCs w:val="20"/>
    </w:rPr>
  </w:style>
  <w:style w:type="paragraph" w:customStyle="1" w:styleId="12">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GXR</dc:creator>
  <cp:lastModifiedBy>Administrator</cp:lastModifiedBy>
  <dcterms:modified xsi:type="dcterms:W3CDTF">2021-08-16T03:17:32Z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58240A701613457BB24A0FE0F01EE863</vt:lpwstr>
  </property>
</Properties>
</file>