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18" w:lineRule="atLeast"/>
        <w:ind w:left="0" w:right="0" w:firstLine="360"/>
        <w:jc w:val="center"/>
        <w:rPr>
          <w:rFonts w:ascii="Helvetica" w:hAnsi="Helvetica" w:eastAsia="Helvetica" w:cs="Helvetica"/>
          <w:i w:val="0"/>
          <w:iCs w:val="0"/>
          <w:caps w:val="0"/>
          <w:color w:val="262626"/>
          <w:spacing w:val="10"/>
          <w:sz w:val="32"/>
          <w:szCs w:val="32"/>
        </w:rPr>
      </w:pPr>
      <w:r>
        <w:rPr>
          <w:rStyle w:val="5"/>
          <w:rFonts w:hint="default" w:ascii="Helvetica" w:hAnsi="Helvetica" w:eastAsia="Helvetica" w:cs="Helvetica"/>
          <w:b/>
          <w:bCs/>
          <w:i w:val="0"/>
          <w:iCs w:val="0"/>
          <w:caps w:val="0"/>
          <w:color w:val="262626"/>
          <w:spacing w:val="10"/>
          <w:sz w:val="32"/>
          <w:szCs w:val="32"/>
        </w:rPr>
        <w:t>国务院关于进一步健全特困人员救助供养制度的意见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center"/>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国发〔2016〕14号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w:t>
      </w:r>
      <w:bookmarkStart w:id="0" w:name="_GoBack"/>
      <w:bookmarkEnd w:id="0"/>
      <w:r>
        <w:rPr>
          <w:rFonts w:hint="eastAsia" w:ascii="宋体" w:hAnsi="宋体" w:eastAsia="宋体" w:cs="宋体"/>
          <w:i w:val="0"/>
          <w:iCs w:val="0"/>
          <w:caps w:val="0"/>
          <w:color w:val="262626"/>
          <w:spacing w:val="10"/>
          <w:sz w:val="24"/>
          <w:szCs w:val="24"/>
        </w:rPr>
        <w:t>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Style w:val="5"/>
          <w:rFonts w:hint="eastAsia" w:ascii="宋体" w:hAnsi="宋体" w:eastAsia="宋体" w:cs="宋体"/>
          <w:b/>
          <w:bCs/>
          <w:i w:val="0"/>
          <w:iCs w:val="0"/>
          <w:caps w:val="0"/>
          <w:color w:val="262626"/>
          <w:spacing w:val="10"/>
          <w:sz w:val="24"/>
          <w:szCs w:val="24"/>
        </w:rPr>
        <w:t>一、总体要求和基本原则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坚持托底供养。强化政府托底保障职责，为城乡特困人员提供基本生活、照料服务、疾病治疗和殡葬服务等方面保障，做到应救尽救、应养尽养。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坚持属地管理。县级以上地方人民政府统筹做好本行政区域内特困人员救助供养工作，分级管理，落实责任，强化管理服务和资金保障，为特困人员提供规范、适度的救助供养服务。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坚持城乡统筹。健全城乡特困人员救助供养工作管理体制，在政策目标、资金筹集、对象范围、供养标准、经办服务等方面实现城乡统筹，确保城乡特困人员都能获得救助供养服务。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坚持适度保障。立足经济社会发展水平，科学合理制定救助供养标准，加强与其他社会保障制度衔接，实现特困人员救助供养制度保基本、全覆盖、可持续。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坚持社会参与。鼓励、引导、支持社会力量通过承接政府购买服务、慈善捐赠以及提供志愿服务等方式，为特困人员提供服务和帮扶，形成全社会关心、支持、参与特困人员救助供养工作的良好氛围。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Style w:val="5"/>
          <w:rFonts w:hint="eastAsia" w:ascii="宋体" w:hAnsi="宋体" w:eastAsia="宋体" w:cs="宋体"/>
          <w:b/>
          <w:bCs/>
          <w:i w:val="0"/>
          <w:iCs w:val="0"/>
          <w:caps w:val="0"/>
          <w:color w:val="262626"/>
          <w:spacing w:val="10"/>
          <w:sz w:val="24"/>
          <w:szCs w:val="24"/>
        </w:rPr>
        <w:t>二、制度内容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(一)对象范围。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城乡老年人、残疾人以及未满16周岁的未成年人，同时具备以下条件的，应当依法纳入特困人员救助供养范围：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无劳动能力、无生活来源、无法定赡养抚养扶养义务人或者其法定义务人无履行义务能力。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具体认定办法由民政部负责制定。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(二)办理程序。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申请程序。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乡镇人民政府(街道办事处)以及村(居)民委员会应当及时了解掌握辖区内居民的生活情况，发现符合特困人员救助供养条件的人员，应当告知其救助供养政策，对无民事行为能力等无法自主申请的，应当主动帮助其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审核程序。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审批程序。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终止程序。特困人员不再符合救助供养条件的，村(居)民委员会或者供养服务机构应当及时告知乡镇人民政府(街道办事处)，由乡镇人民政府(街道办事处)审核并报县级人民政府民政部门核准后，终止救助供养并予以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(三)救助供养内容。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特困人员救助供养主要包括以下内容：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提供基本生活条件。包括供给粮油、副食品、生活用燃料、服装、被褥等日常生活用品和零用钱。可以通过实物或者现金的方式予以保障。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对生活不能自理的给予照料。包括日常生活、住院期间的必要照料等基本服务。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提供疾病治疗。全额资助参加城乡居民基本医疗保险的个人缴费部分。医疗费用按照基本医疗保险、大病保险和医疗救助等医疗保障制度规定支付后仍有不足的，由救助供养经费予以支持。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办理丧葬事宜。特困人员死亡后的丧葬事宜，集中供养的由供养服务机构办理，分散供养的由乡镇人民政府(街道办事处)委托村(居)民委员会或者其亲属办理。丧葬费用从救助供养经费中支出。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(四)救助供养标准。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特困人员救助供养标准包括基本生活标准和照料护理标准。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基本生活标准应当满足特困人员基本生活所需。照料护理标准应当根据特困人员生活自理能力和服务需求分类制定，体现差异性。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(五)救助供养形式。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特困人员救助供养形式分为在家分散供养和在当地的供养服务机构集中供养。具备生活自理能力的，鼓励其在家分散供养；完全或者部分丧失生活自理能力的，优先为其提供集中供养服务。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集中供养。对需要集中供养的特困人员，由县级人民政府民政部门按照便于管理的原则，就近安排到相应的供养服务机构；未满16周岁的，安置到儿童福利机构。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供养服务机构管理。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Style w:val="5"/>
          <w:rFonts w:hint="eastAsia" w:ascii="宋体" w:hAnsi="宋体" w:eastAsia="宋体" w:cs="宋体"/>
          <w:b/>
          <w:bCs/>
          <w:i w:val="0"/>
          <w:iCs w:val="0"/>
          <w:caps w:val="0"/>
          <w:color w:val="262626"/>
          <w:spacing w:val="10"/>
          <w:sz w:val="24"/>
          <w:szCs w:val="24"/>
        </w:rPr>
        <w:t>三、保障措施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(一)加强组织领导。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(二)做好制度衔接。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(三)强化资金保障。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(四)加强监督管理。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(五)鼓励社会参与。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(六)加强政策宣传。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各地区、各有关部门要采用群众喜闻乐见的形式，大力宣传特困人员救助供养政策，不断提高社会知晓度，积极营造全社会关心关爱特困人员的良好氛围。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363"/>
        <w:jc w:val="both"/>
        <w:textAlignment w:val="auto"/>
        <w:rPr>
          <w:rFonts w:hint="eastAsia" w:ascii="宋体" w:hAnsi="宋体" w:eastAsia="宋体" w:cs="宋体"/>
          <w:i w:val="0"/>
          <w:iCs w:val="0"/>
          <w:caps w:val="0"/>
          <w:color w:val="262626"/>
          <w:spacing w:val="10"/>
          <w:sz w:val="24"/>
          <w:szCs w:val="24"/>
        </w:rPr>
      </w:pPr>
      <w:r>
        <w:rPr>
          <w:rFonts w:hint="eastAsia" w:ascii="宋体" w:hAnsi="宋体" w:eastAsia="宋体" w:cs="宋体"/>
          <w:i w:val="0"/>
          <w:iCs w:val="0"/>
          <w:caps w:val="0"/>
          <w:color w:val="262626"/>
          <w:spacing w:val="10"/>
          <w:sz w:val="24"/>
          <w:szCs w:val="24"/>
        </w:rPr>
        <w:t>民政部、财政部要加强对本意见执行情况的监督检查，重大情况及时向国务院报告。国务院将适时组织专项督查。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18" w:lineRule="atLeast"/>
        <w:ind w:left="0" w:right="0" w:firstLine="360"/>
        <w:jc w:val="both"/>
        <w:rPr>
          <w:rFonts w:hint="default" w:ascii="Helvetica" w:hAnsi="Helvetica" w:eastAsia="Helvetica" w:cs="Helvetica"/>
          <w:i w:val="0"/>
          <w:iCs w:val="0"/>
          <w:caps w:val="0"/>
          <w:color w:val="262626"/>
          <w:spacing w:val="10"/>
          <w:sz w:val="18"/>
          <w:szCs w:val="18"/>
        </w:rPr>
      </w:pPr>
      <w:r>
        <w:rPr>
          <w:rFonts w:hint="default" w:ascii="Helvetica" w:hAnsi="Helvetica" w:eastAsia="Helvetica" w:cs="Helvetica"/>
          <w:i w:val="0"/>
          <w:iCs w:val="0"/>
          <w:caps w:val="0"/>
          <w:color w:val="262626"/>
          <w:spacing w:val="10"/>
          <w:sz w:val="18"/>
          <w:szCs w:val="18"/>
        </w:rPr>
        <w:t>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18" w:lineRule="atLeast"/>
        <w:ind w:left="0" w:right="0" w:firstLine="360"/>
        <w:jc w:val="both"/>
        <w:rPr>
          <w:rFonts w:hint="default" w:ascii="Helvetica" w:hAnsi="Helvetica" w:eastAsia="Helvetica" w:cs="Helvetica"/>
          <w:i w:val="0"/>
          <w:iCs w:val="0"/>
          <w:caps w:val="0"/>
          <w:color w:val="262626"/>
          <w:spacing w:val="10"/>
          <w:sz w:val="18"/>
          <w:szCs w:val="18"/>
        </w:rPr>
      </w:pPr>
      <w:r>
        <w:rPr>
          <w:rFonts w:hint="default" w:ascii="Helvetica" w:hAnsi="Helvetica" w:eastAsia="Helvetica" w:cs="Helvetica"/>
          <w:i w:val="0"/>
          <w:iCs w:val="0"/>
          <w:caps w:val="0"/>
          <w:color w:val="262626"/>
          <w:spacing w:val="10"/>
          <w:sz w:val="18"/>
          <w:szCs w:val="18"/>
        </w:rPr>
        <w:t>2016年2月10日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752BD"/>
    <w:rsid w:val="2C1752BD"/>
    <w:rsid w:val="48F52166"/>
    <w:rsid w:val="65F51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2023-08-30T09:27:00Z</dcterms:created>
  <dc:creator>Administrator</dc:creator>
  <cp:lastModifiedBy>Administrator</cp:lastModifiedBy>
  <dcterms:modified xsi:type="dcterms:W3CDTF">2023-09-07T05:16:28Z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8CA0005BC84C49FFB716C8A0E3876A39</vt:lpwstr>
  </property>
</Properties>
</file>